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081D1" w14:textId="3F46C0CE" w:rsidR="006C4330" w:rsidRPr="007A4042" w:rsidRDefault="006C4330" w:rsidP="006C4330">
      <w:pPr>
        <w:jc w:val="both"/>
        <w:rPr>
          <w:rFonts w:ascii="Gotham Book" w:hAnsi="Gotham Book"/>
          <w:color w:val="4B0A57"/>
        </w:rPr>
      </w:pPr>
      <w:r w:rsidRPr="007A4042">
        <w:rPr>
          <w:rFonts w:ascii="Gotham Book" w:hAnsi="Gotham Book"/>
          <w:color w:val="4B0A57"/>
        </w:rPr>
        <w:t>The Fédération Equestre International</w:t>
      </w:r>
      <w:r w:rsidR="00466F2C">
        <w:rPr>
          <w:rFonts w:ascii="Gotham Book" w:hAnsi="Gotham Book"/>
          <w:color w:val="4B0A57"/>
        </w:rPr>
        <w:t>e</w:t>
      </w:r>
      <w:r w:rsidRPr="007A4042">
        <w:rPr>
          <w:rFonts w:ascii="Gotham Book" w:hAnsi="Gotham Book"/>
          <w:color w:val="4B0A57"/>
        </w:rPr>
        <w:t xml:space="preserve"> (F</w:t>
      </w:r>
      <w:bookmarkStart w:id="0" w:name="_GoBack"/>
      <w:bookmarkEnd w:id="0"/>
      <w:r w:rsidRPr="007A4042">
        <w:rPr>
          <w:rFonts w:ascii="Gotham Book" w:hAnsi="Gotham Book"/>
          <w:color w:val="4B0A57"/>
        </w:rPr>
        <w:t xml:space="preserve">EI), a not-for-profit association within the meaning of articles 60 and ff of the Swiss Civil Code and having its principal office at the HM King Hussein I Building, Chemin de la Joliette 8, 1006 Lausanne, Switzerland; </w:t>
      </w:r>
    </w:p>
    <w:p w14:paraId="0F11125C" w14:textId="77777777" w:rsidR="006C4330" w:rsidRPr="007A4042" w:rsidRDefault="006C4330" w:rsidP="006C4330">
      <w:pPr>
        <w:jc w:val="both"/>
        <w:rPr>
          <w:rFonts w:ascii="Gotham Book" w:hAnsi="Gotham Book"/>
          <w:color w:val="4B0A57"/>
        </w:rPr>
      </w:pPr>
      <w:r w:rsidRPr="007A4042">
        <w:rPr>
          <w:rFonts w:ascii="Gotham Book" w:hAnsi="Gotham Book"/>
          <w:color w:val="4B0A57"/>
        </w:rPr>
        <w:t>The International Tent Pegging Federation (ITPF), [</w:t>
      </w:r>
      <w:r w:rsidRPr="007A4042">
        <w:rPr>
          <w:rFonts w:ascii="Gotham Book" w:hAnsi="Gotham Book"/>
          <w:color w:val="4B0A57"/>
          <w:highlight w:val="yellow"/>
        </w:rPr>
        <w:t>identification</w:t>
      </w:r>
      <w:r w:rsidRPr="007A4042">
        <w:rPr>
          <w:rFonts w:ascii="Gotham Book" w:hAnsi="Gotham Book"/>
          <w:color w:val="4B0A57"/>
        </w:rPr>
        <w:t>]</w:t>
      </w:r>
    </w:p>
    <w:p w14:paraId="1CFA0853" w14:textId="77777777" w:rsidR="006C4330" w:rsidRPr="007A4042" w:rsidRDefault="006C4330" w:rsidP="006C4330">
      <w:pPr>
        <w:jc w:val="both"/>
        <w:rPr>
          <w:rFonts w:ascii="Gotham Book" w:hAnsi="Gotham Book"/>
          <w:color w:val="4B0A57"/>
        </w:rPr>
      </w:pPr>
      <w:r w:rsidRPr="007A4042">
        <w:rPr>
          <w:rFonts w:ascii="Gotham Book" w:hAnsi="Gotham Book"/>
          <w:color w:val="4B0A57"/>
        </w:rPr>
        <w:t xml:space="preserve">The FEI is the sole authority for all International Events in the disciplines of Jumping, Dressage, Para Dressage Eventing, Driving, Para Driving, Endurance, Vaulting and Reining and any other forms of Equestrian Sport approved by the General Assembly (the “Equestrian Disciplines”) recognised by the International Olympic Committee and the International Paralympic Committee. Among its statutory objectives the FEI recognises the interests of all the constituencies of equestrianism and promotes equestrianism in all its forms. </w:t>
      </w:r>
    </w:p>
    <w:p w14:paraId="3F1E14C5" w14:textId="77777777" w:rsidR="006C4330" w:rsidRPr="007A4042" w:rsidRDefault="006C4330" w:rsidP="006C4330">
      <w:pPr>
        <w:jc w:val="both"/>
        <w:rPr>
          <w:rFonts w:ascii="Gotham Book" w:hAnsi="Gotham Book"/>
          <w:color w:val="4B0A57"/>
        </w:rPr>
      </w:pPr>
      <w:r w:rsidRPr="007A4042">
        <w:rPr>
          <w:rFonts w:ascii="Gotham Book" w:hAnsi="Gotham Book"/>
          <w:color w:val="4B0A57"/>
        </w:rPr>
        <w:t>ITPF, [</w:t>
      </w:r>
      <w:r w:rsidRPr="007A4042">
        <w:rPr>
          <w:rFonts w:ascii="Gotham Book" w:hAnsi="Gotham Book"/>
          <w:color w:val="4B0A57"/>
          <w:highlight w:val="yellow"/>
        </w:rPr>
        <w:t>definition of main activities and statutory objectives</w:t>
      </w:r>
      <w:r w:rsidRPr="007A4042">
        <w:rPr>
          <w:rFonts w:ascii="Gotham Book" w:hAnsi="Gotham Book"/>
          <w:color w:val="4B0A57"/>
        </w:rPr>
        <w:t xml:space="preserve">] </w:t>
      </w:r>
    </w:p>
    <w:p w14:paraId="000FA163" w14:textId="77777777" w:rsidR="006C4330" w:rsidRPr="007A4042" w:rsidRDefault="006C4330" w:rsidP="006C4330">
      <w:pPr>
        <w:jc w:val="both"/>
        <w:rPr>
          <w:rFonts w:ascii="Gotham Book" w:hAnsi="Gotham Book"/>
          <w:color w:val="4B0A57"/>
        </w:rPr>
      </w:pPr>
      <w:r w:rsidRPr="007A4042">
        <w:rPr>
          <w:rFonts w:ascii="Gotham Book" w:hAnsi="Gotham Book"/>
          <w:color w:val="4B0A57"/>
        </w:rPr>
        <w:t xml:space="preserve">Based on their own statutory objectives, on a mutual commitment to equestrian sport and to fostering its growth in harmony and total respect with the partnership between two Athletes, equine and human, the FEI and ITPF recognise the significant roles that each one play in the development of equestrianism worldwide. </w:t>
      </w:r>
    </w:p>
    <w:p w14:paraId="72AF01F1" w14:textId="77777777" w:rsidR="006C4330" w:rsidRPr="007A4042" w:rsidRDefault="006C4330" w:rsidP="006C4330">
      <w:pPr>
        <w:jc w:val="both"/>
        <w:rPr>
          <w:rFonts w:ascii="Gotham Book" w:hAnsi="Gotham Book"/>
          <w:color w:val="4B0A57"/>
        </w:rPr>
      </w:pPr>
      <w:r w:rsidRPr="007A4042">
        <w:rPr>
          <w:rFonts w:ascii="Gotham Book" w:hAnsi="Gotham Book"/>
          <w:color w:val="4B0A57"/>
        </w:rPr>
        <w:t>ITPF acknowledges that the welfare of the Horse is paramount for the FEI and that the FEI continuously applies the highest standard and rules to safeguard the Athletes’ health. ITPF further agrees to endorse and respect all FEI principles and rules for the welfare of the Horses and the safety of the Athletes. Failure to comply with this provision shall be regarded as a material breach of this Official Mutual Recognition and shall give rise to an automatic termination right on the part of the FEI.</w:t>
      </w:r>
    </w:p>
    <w:p w14:paraId="3EEA767C" w14:textId="77777777" w:rsidR="006C4330" w:rsidRPr="007A4042" w:rsidRDefault="006C4330" w:rsidP="006C4330">
      <w:pPr>
        <w:jc w:val="both"/>
        <w:rPr>
          <w:rFonts w:ascii="Gotham Book" w:hAnsi="Gotham Book"/>
          <w:color w:val="4B0A57"/>
        </w:rPr>
      </w:pPr>
      <w:r w:rsidRPr="007A4042">
        <w:rPr>
          <w:rFonts w:ascii="Gotham Book" w:hAnsi="Gotham Book"/>
          <w:color w:val="4B0A57"/>
        </w:rPr>
        <w:t xml:space="preserve">The use of any party logo(s) can only be done with the express written consent of the other party. </w:t>
      </w:r>
    </w:p>
    <w:p w14:paraId="43D044F2" w14:textId="77777777" w:rsidR="00CE6C85" w:rsidRPr="007A4042" w:rsidRDefault="006C4330" w:rsidP="006C4330">
      <w:pPr>
        <w:jc w:val="both"/>
        <w:rPr>
          <w:rFonts w:ascii="Gotham Book" w:hAnsi="Gotham Book"/>
          <w:color w:val="4B0A57"/>
        </w:rPr>
      </w:pPr>
      <w:r w:rsidRPr="007A4042">
        <w:rPr>
          <w:rFonts w:ascii="Gotham Book" w:hAnsi="Gotham Book"/>
          <w:color w:val="4B0A57"/>
        </w:rPr>
        <w:t>A party can remove its recognition of the other party upon giving one month’s notice.</w:t>
      </w:r>
    </w:p>
    <w:sectPr w:rsidR="00CE6C85" w:rsidRPr="007A4042" w:rsidSect="007A4042">
      <w:headerReference w:type="default" r:id="rId6"/>
      <w:pgSz w:w="11906" w:h="16838"/>
      <w:pgMar w:top="330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B176C" w14:textId="77777777" w:rsidR="00B835E9" w:rsidRDefault="00B835E9" w:rsidP="007A4042">
      <w:pPr>
        <w:spacing w:after="0" w:line="240" w:lineRule="auto"/>
      </w:pPr>
      <w:r>
        <w:separator/>
      </w:r>
    </w:p>
  </w:endnote>
  <w:endnote w:type="continuationSeparator" w:id="0">
    <w:p w14:paraId="6A75C88C" w14:textId="77777777" w:rsidR="00B835E9" w:rsidRDefault="00B835E9" w:rsidP="007A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4EF39" w14:textId="77777777" w:rsidR="00B835E9" w:rsidRDefault="00B835E9" w:rsidP="007A4042">
      <w:pPr>
        <w:spacing w:after="0" w:line="240" w:lineRule="auto"/>
      </w:pPr>
      <w:r>
        <w:separator/>
      </w:r>
    </w:p>
  </w:footnote>
  <w:footnote w:type="continuationSeparator" w:id="0">
    <w:p w14:paraId="5E0803A6" w14:textId="77777777" w:rsidR="00B835E9" w:rsidRDefault="00B835E9" w:rsidP="007A4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AC477" w14:textId="77777777" w:rsidR="007A4042" w:rsidRDefault="007A4042">
    <w:pPr>
      <w:pStyle w:val="Header"/>
    </w:pPr>
    <w:r>
      <w:rPr>
        <w:noProof/>
        <w:lang w:val="en-GB" w:eastAsia="en-GB"/>
      </w:rPr>
      <w:drawing>
        <wp:anchor distT="0" distB="0" distL="114300" distR="114300" simplePos="0" relativeHeight="251658240" behindDoc="1" locked="0" layoutInCell="1" allowOverlap="1" wp14:anchorId="65D4D02D" wp14:editId="304328CA">
          <wp:simplePos x="0" y="0"/>
          <wp:positionH relativeFrom="column">
            <wp:posOffset>-912642</wp:posOffset>
          </wp:positionH>
          <wp:positionV relativeFrom="paragraph">
            <wp:posOffset>-449580</wp:posOffset>
          </wp:positionV>
          <wp:extent cx="7570366" cy="1071302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I_OMR.jpg"/>
                  <pic:cNvPicPr/>
                </pic:nvPicPr>
                <pic:blipFill>
                  <a:blip r:embed="rId1">
                    <a:extLst>
                      <a:ext uri="{28A0092B-C50C-407E-A947-70E740481C1C}">
                        <a14:useLocalDpi xmlns:a14="http://schemas.microsoft.com/office/drawing/2010/main" val="0"/>
                      </a:ext>
                    </a:extLst>
                  </a:blip>
                  <a:stretch>
                    <a:fillRect/>
                  </a:stretch>
                </pic:blipFill>
                <pic:spPr>
                  <a:xfrm>
                    <a:off x="0" y="0"/>
                    <a:ext cx="7570366" cy="1071302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30"/>
    <w:rsid w:val="000B738B"/>
    <w:rsid w:val="002040D6"/>
    <w:rsid w:val="00466F2C"/>
    <w:rsid w:val="004A33A7"/>
    <w:rsid w:val="006C4330"/>
    <w:rsid w:val="007A4042"/>
    <w:rsid w:val="0099599D"/>
    <w:rsid w:val="00B60005"/>
    <w:rsid w:val="00B835E9"/>
    <w:rsid w:val="00CE6C85"/>
    <w:rsid w:val="00E444FE"/>
    <w:rsid w:val="00FA3689"/>
    <w:rsid w:val="00FB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EF62B"/>
  <w15:chartTrackingRefBased/>
  <w15:docId w15:val="{416E53A5-CC46-414E-97E2-EC5E912A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0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4042"/>
  </w:style>
  <w:style w:type="paragraph" w:styleId="Footer">
    <w:name w:val="footer"/>
    <w:basedOn w:val="Normal"/>
    <w:link w:val="FooterChar"/>
    <w:uiPriority w:val="99"/>
    <w:unhideWhenUsed/>
    <w:rsid w:val="007A40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4042"/>
  </w:style>
  <w:style w:type="paragraph" w:styleId="Revision">
    <w:name w:val="Revision"/>
    <w:hidden/>
    <w:uiPriority w:val="99"/>
    <w:semiHidden/>
    <w:rsid w:val="00466F2C"/>
    <w:pPr>
      <w:spacing w:after="0" w:line="240" w:lineRule="auto"/>
    </w:pPr>
  </w:style>
  <w:style w:type="paragraph" w:styleId="BalloonText">
    <w:name w:val="Balloon Text"/>
    <w:basedOn w:val="Normal"/>
    <w:link w:val="BalloonTextChar"/>
    <w:uiPriority w:val="99"/>
    <w:semiHidden/>
    <w:unhideWhenUsed/>
    <w:rsid w:val="00466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F2C"/>
    <w:rPr>
      <w:rFonts w:ascii="Segoe UI" w:hAnsi="Segoe UI" w:cs="Segoe UI"/>
      <w:sz w:val="18"/>
      <w:szCs w:val="18"/>
    </w:rPr>
  </w:style>
  <w:style w:type="character" w:styleId="CommentReference">
    <w:name w:val="annotation reference"/>
    <w:basedOn w:val="DefaultParagraphFont"/>
    <w:uiPriority w:val="99"/>
    <w:semiHidden/>
    <w:unhideWhenUsed/>
    <w:rsid w:val="00466F2C"/>
    <w:rPr>
      <w:sz w:val="16"/>
      <w:szCs w:val="16"/>
    </w:rPr>
  </w:style>
  <w:style w:type="paragraph" w:styleId="CommentText">
    <w:name w:val="annotation text"/>
    <w:basedOn w:val="Normal"/>
    <w:link w:val="CommentTextChar"/>
    <w:uiPriority w:val="99"/>
    <w:semiHidden/>
    <w:unhideWhenUsed/>
    <w:rsid w:val="00466F2C"/>
    <w:pPr>
      <w:spacing w:line="240" w:lineRule="auto"/>
    </w:pPr>
    <w:rPr>
      <w:sz w:val="20"/>
      <w:szCs w:val="20"/>
    </w:rPr>
  </w:style>
  <w:style w:type="character" w:customStyle="1" w:styleId="CommentTextChar">
    <w:name w:val="Comment Text Char"/>
    <w:basedOn w:val="DefaultParagraphFont"/>
    <w:link w:val="CommentText"/>
    <w:uiPriority w:val="99"/>
    <w:semiHidden/>
    <w:rsid w:val="00466F2C"/>
    <w:rPr>
      <w:sz w:val="20"/>
      <w:szCs w:val="20"/>
    </w:rPr>
  </w:style>
  <w:style w:type="paragraph" w:styleId="CommentSubject">
    <w:name w:val="annotation subject"/>
    <w:basedOn w:val="CommentText"/>
    <w:next w:val="CommentText"/>
    <w:link w:val="CommentSubjectChar"/>
    <w:uiPriority w:val="99"/>
    <w:semiHidden/>
    <w:unhideWhenUsed/>
    <w:rsid w:val="00466F2C"/>
    <w:rPr>
      <w:b/>
      <w:bCs/>
    </w:rPr>
  </w:style>
  <w:style w:type="character" w:customStyle="1" w:styleId="CommentSubjectChar">
    <w:name w:val="Comment Subject Char"/>
    <w:basedOn w:val="CommentTextChar"/>
    <w:link w:val="CommentSubject"/>
    <w:uiPriority w:val="99"/>
    <w:semiHidden/>
    <w:rsid w:val="00466F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Lima</dc:creator>
  <cp:keywords/>
  <dc:description/>
  <cp:lastModifiedBy>Nicole Sigrist</cp:lastModifiedBy>
  <cp:revision>2</cp:revision>
  <dcterms:created xsi:type="dcterms:W3CDTF">2020-12-10T22:23:00Z</dcterms:created>
  <dcterms:modified xsi:type="dcterms:W3CDTF">2020-12-10T22:23:00Z</dcterms:modified>
</cp:coreProperties>
</file>