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rFonts w:cs="Arial"/>
          <w:sz w:val="33"/>
          <w:szCs w:val="33"/>
        </w:rPr>
      </w:pPr>
      <w:r>
        <w:rPr>
          <w:rFonts w:cs="Arial"/>
          <w:sz w:val="33"/>
        </w:rPr>
        <w:t>Ministry of Agriculture and Rural Affairs Provisional Rules for Overseas Veterinarians at the 19th Asian Games</w:t>
      </w:r>
    </w:p>
    <w:tbl>
      <w:tblPr>
        <w:tblStyle w:val="5"/>
        <w:tblW w:w="0" w:type="auto"/>
        <w:tblInd w:w="0" w:type="dxa"/>
        <w:tblBorders>
          <w:top w:val="thickThinLargeGap" w:color="9CC2E5" w:themeColor="accent1" w:themeTint="99" w:sz="24" w:space="0"/>
          <w:left w:val="thickThinLargeGap" w:color="9CC2E5" w:themeColor="accent1" w:themeTint="99" w:sz="24" w:space="0"/>
          <w:bottom w:val="thinThickLargeGap" w:color="9CC2E5" w:themeColor="accent1" w:themeTint="99" w:sz="24" w:space="0"/>
          <w:right w:val="thinThickLargeGap" w:color="9CC2E5" w:themeColor="accent1" w:themeTint="99" w:sz="24" w:space="0"/>
          <w:insideH w:val="none" w:color="auto" w:sz="0" w:space="0"/>
          <w:insideV w:val="none" w:color="auto" w:sz="0" w:space="0"/>
        </w:tblBorders>
        <w:tblLayout w:type="autofit"/>
        <w:tblCellMar>
          <w:top w:w="113" w:type="dxa"/>
          <w:left w:w="170" w:type="dxa"/>
          <w:bottom w:w="113" w:type="dxa"/>
          <w:right w:w="170" w:type="dxa"/>
        </w:tblCellMar>
      </w:tblPr>
      <w:tblGrid>
        <w:gridCol w:w="9532"/>
      </w:tblGrid>
      <w:tr>
        <w:tblPrEx>
          <w:tblBorders>
            <w:top w:val="thickThinLargeGap" w:color="9CC2E5" w:themeColor="accent1" w:themeTint="99" w:sz="24" w:space="0"/>
            <w:left w:val="thickThinLargeGap" w:color="9CC2E5" w:themeColor="accent1" w:themeTint="99" w:sz="24" w:space="0"/>
            <w:bottom w:val="thinThickLargeGap" w:color="9CC2E5" w:themeColor="accent1" w:themeTint="99" w:sz="24" w:space="0"/>
            <w:right w:val="thinThickLargeGap" w:color="9CC2E5" w:themeColor="accent1" w:themeTint="99" w:sz="24" w:space="0"/>
            <w:insideH w:val="none" w:color="auto" w:sz="0" w:space="0"/>
            <w:insideV w:val="none" w:color="auto" w:sz="0" w:space="0"/>
          </w:tblBorders>
          <w:tblCellMar>
            <w:top w:w="113" w:type="dxa"/>
            <w:left w:w="170" w:type="dxa"/>
            <w:bottom w:w="113" w:type="dxa"/>
            <w:right w:w="170" w:type="dxa"/>
          </w:tblCellMar>
        </w:tblPrEx>
        <w:trPr>
          <w:trHeight w:val="13153" w:hRule="atLeast"/>
        </w:trPr>
        <w:tc>
          <w:tcPr>
            <w:tcW w:w="9532" w:type="dxa"/>
          </w:tcPr>
          <w:p>
            <w:pPr>
              <w:adjustRightInd w:val="0"/>
              <w:snapToGrid w:val="0"/>
              <w:spacing w:before="1092" w:beforeLines="350"/>
              <w:ind w:left="660" w:leftChars="300" w:right="660" w:rightChars="300"/>
              <w:jc w:val="center"/>
              <w:rPr>
                <w:rFonts w:eastAsia="宋体" w:cs="Arial"/>
                <w:b/>
                <w:bCs/>
                <w:color w:val="FF0000"/>
                <w:sz w:val="44"/>
                <w:szCs w:val="44"/>
              </w:rPr>
            </w:pPr>
            <w:r>
              <w:rPr>
                <w:rFonts w:cs="Arial"/>
                <w:b/>
                <w:color w:val="FF0000"/>
                <w:sz w:val="44"/>
              </w:rPr>
              <w:t>Announcement of the Ministry of Agriculture and Rural Affairs of the People’s Republic of China</w:t>
            </w:r>
          </w:p>
          <w:p>
            <w:pPr>
              <w:adjustRightInd w:val="0"/>
              <w:snapToGrid w:val="0"/>
              <w:spacing w:before="624" w:beforeLines="200" w:after="624" w:afterLines="200"/>
              <w:ind w:left="660" w:leftChars="300" w:right="660" w:rightChars="300"/>
              <w:jc w:val="center"/>
              <w:rPr>
                <w:rFonts w:eastAsia="宋体" w:cs="Arial"/>
              </w:rPr>
            </w:pPr>
            <w:r>
              <w:rPr>
                <w:rFonts w:cs="Arial"/>
              </w:rPr>
              <w:t>No. 544</w:t>
            </w:r>
          </w:p>
          <w:p>
            <w:pPr>
              <w:adjustRightInd w:val="0"/>
              <w:snapToGrid w:val="0"/>
              <w:spacing w:line="360" w:lineRule="auto"/>
              <w:ind w:left="660" w:leftChars="300" w:right="660" w:rightChars="300"/>
              <w:rPr>
                <w:rFonts w:eastAsia="宋体" w:cs="Arial"/>
              </w:rPr>
            </w:pPr>
            <w:r>
              <w:rPr>
                <w:rFonts w:cs="Arial"/>
              </w:rPr>
              <w:t xml:space="preserve">To better manage overseas veterinarians </w:t>
            </w:r>
            <w:r>
              <w:rPr>
                <w:rFonts w:hint="eastAsia" w:cs="Arial"/>
              </w:rPr>
              <w:t>who</w:t>
            </w:r>
            <w:r>
              <w:rPr>
                <w:rFonts w:cs="Arial"/>
              </w:rPr>
              <w:t xml:space="preserve"> provide supporting services to the equestrian competitions of the 19th Asian Games, the Ministry of Agriculture and Rural Affairs has developed the </w:t>
            </w:r>
            <w:r>
              <w:rPr>
                <w:rFonts w:cs="Arial"/>
                <w:i/>
                <w:iCs/>
              </w:rPr>
              <w:t>Provisional Rules for Overseas Veterinarians at the 19th Asian Games</w:t>
            </w:r>
            <w:r>
              <w:rPr>
                <w:rFonts w:cs="Arial"/>
              </w:rPr>
              <w:t xml:space="preserve"> (hereinafter referred to as “the Rules”)</w:t>
            </w:r>
            <w:r>
              <w:rPr>
                <w:rFonts w:hint="eastAsia" w:cs="Arial"/>
              </w:rPr>
              <w:t>, in accordance</w:t>
            </w:r>
            <w:r>
              <w:rPr>
                <w:rFonts w:cs="Arial"/>
              </w:rPr>
              <w:t xml:space="preserve"> with the </w:t>
            </w:r>
            <w:r>
              <w:rPr>
                <w:rFonts w:cs="Arial"/>
                <w:i/>
                <w:iCs/>
              </w:rPr>
              <w:t>Law of the People’s Republic of China on Animal Epidemic Prevention</w:t>
            </w:r>
            <w:r>
              <w:rPr>
                <w:rFonts w:cs="Arial"/>
              </w:rPr>
              <w:t xml:space="preserve"> and the </w:t>
            </w:r>
            <w:r>
              <w:rPr>
                <w:rFonts w:cs="Arial"/>
                <w:i/>
                <w:iCs/>
              </w:rPr>
              <w:t>Administrative Measures for Practi</w:t>
            </w:r>
            <w:r>
              <w:rPr>
                <w:rFonts w:hint="eastAsia" w:cs="Arial"/>
                <w:i/>
                <w:iCs/>
              </w:rPr>
              <w:t>s</w:t>
            </w:r>
            <w:r>
              <w:rPr>
                <w:rFonts w:cs="Arial"/>
                <w:i/>
                <w:iCs/>
              </w:rPr>
              <w:t>ing Veterinarians</w:t>
            </w:r>
            <w:r>
              <w:rPr>
                <w:rFonts w:cs="Arial"/>
              </w:rPr>
              <w:t>. The Rules will take effect upon promulgation.</w:t>
            </w:r>
          </w:p>
          <w:p>
            <w:pPr>
              <w:adjustRightInd w:val="0"/>
              <w:snapToGrid w:val="0"/>
              <w:spacing w:after="468" w:afterLines="150" w:line="360" w:lineRule="auto"/>
              <w:ind w:left="660" w:leftChars="300" w:right="660" w:rightChars="300"/>
              <w:jc w:val="left"/>
              <w:rPr>
                <w:rFonts w:eastAsia="宋体" w:cs="Arial"/>
              </w:rPr>
            </w:pPr>
          </w:p>
          <w:p>
            <w:pPr>
              <w:adjustRightInd w:val="0"/>
              <w:snapToGrid w:val="0"/>
              <w:spacing w:line="360" w:lineRule="auto"/>
              <w:ind w:left="660" w:leftChars="300" w:right="660" w:rightChars="300"/>
              <w:jc w:val="both"/>
              <w:rPr>
                <w:rFonts w:eastAsia="宋体" w:cs="Arial"/>
              </w:rPr>
            </w:pPr>
            <w:r>
              <w:rPr>
                <w:rFonts w:cs="Arial"/>
              </w:rPr>
              <w:t>Appendices: 1. Ministry of Agriculture and Rural Affairs Provisional Rules for Overseas Veterinarians at the 19th Asian Games</w:t>
            </w:r>
          </w:p>
          <w:p>
            <w:pPr>
              <w:adjustRightInd w:val="0"/>
              <w:snapToGrid w:val="0"/>
              <w:spacing w:line="360" w:lineRule="auto"/>
              <w:ind w:left="660" w:leftChars="300" w:right="660" w:rightChars="300"/>
              <w:jc w:val="both"/>
              <w:rPr>
                <w:rFonts w:eastAsia="宋体" w:cs="Arial"/>
              </w:rPr>
            </w:pPr>
            <w:r>
              <w:rPr>
                <w:rFonts w:cs="Arial"/>
              </w:rPr>
              <w:t xml:space="preserve">2. Application Form for Temporary </w:t>
            </w:r>
            <w:r>
              <w:rPr>
                <w:rFonts w:hint="eastAsia" w:cs="Arial"/>
              </w:rPr>
              <w:t xml:space="preserve">Eligibility as Practising </w:t>
            </w:r>
            <w:r>
              <w:rPr>
                <w:rFonts w:cs="Arial"/>
              </w:rPr>
              <w:t>Veterinarian</w:t>
            </w:r>
            <w:r>
              <w:rPr>
                <w:rFonts w:hint="eastAsia" w:cs="Arial"/>
              </w:rPr>
              <w:t>s</w:t>
            </w:r>
            <w:r>
              <w:rPr>
                <w:rFonts w:cs="Arial"/>
              </w:rPr>
              <w:t xml:space="preserve"> for the 19th Asian Games</w:t>
            </w:r>
          </w:p>
          <w:p>
            <w:pPr>
              <w:adjustRightInd w:val="0"/>
              <w:snapToGrid w:val="0"/>
              <w:spacing w:line="360" w:lineRule="auto"/>
              <w:ind w:left="5731" w:leftChars="2605" w:right="660" w:rightChars="300"/>
              <w:jc w:val="center"/>
              <w:rPr>
                <w:rFonts w:cs="Arial"/>
              </w:rPr>
            </w:pPr>
          </w:p>
          <w:p>
            <w:pPr>
              <w:adjustRightInd w:val="0"/>
              <w:snapToGrid w:val="0"/>
              <w:spacing w:line="360" w:lineRule="auto"/>
              <w:ind w:left="5731" w:leftChars="2605" w:right="660" w:rightChars="300"/>
              <w:jc w:val="center"/>
              <w:rPr>
                <w:rFonts w:cs="Arial"/>
              </w:rPr>
            </w:pPr>
          </w:p>
          <w:p>
            <w:pPr>
              <w:adjustRightInd w:val="0"/>
              <w:snapToGrid w:val="0"/>
              <w:spacing w:line="360" w:lineRule="auto"/>
              <w:ind w:left="5731" w:leftChars="2605" w:right="660" w:rightChars="300"/>
              <w:jc w:val="center"/>
              <w:rPr>
                <w:rFonts w:cs="Arial"/>
              </w:rPr>
            </w:pPr>
          </w:p>
          <w:p>
            <w:pPr>
              <w:adjustRightInd w:val="0"/>
              <w:snapToGrid w:val="0"/>
              <w:spacing w:line="360" w:lineRule="auto"/>
              <w:ind w:left="5731" w:leftChars="2605" w:right="660" w:rightChars="300"/>
              <w:jc w:val="center"/>
              <w:rPr>
                <w:rFonts w:eastAsia="宋体" w:cs="Arial"/>
              </w:rPr>
            </w:pPr>
            <w:r>
              <w:rPr>
                <w:rFonts w:cs="Arial"/>
              </w:rPr>
              <w:t>Ministry of Agriculture and Rural Affairs</w:t>
            </w:r>
          </w:p>
          <w:p>
            <w:pPr>
              <w:adjustRightInd w:val="0"/>
              <w:snapToGrid w:val="0"/>
              <w:spacing w:after="468" w:afterLines="150" w:line="360" w:lineRule="auto"/>
              <w:ind w:left="5731" w:leftChars="2605" w:right="660" w:rightChars="300"/>
              <w:jc w:val="center"/>
              <w:rPr>
                <w:rFonts w:eastAsia="宋体" w:cs="Arial"/>
              </w:rPr>
            </w:pPr>
            <w:r>
              <w:rPr>
                <w:rFonts w:cs="Arial"/>
              </w:rPr>
              <w:t>31 March 2022</w:t>
            </w:r>
          </w:p>
          <w:p>
            <w:pPr>
              <w:adjustRightInd w:val="0"/>
              <w:snapToGrid w:val="0"/>
              <w:spacing w:line="360" w:lineRule="auto"/>
              <w:ind w:left="6296" w:leftChars="2862" w:right="660" w:rightChars="300"/>
              <w:jc w:val="right"/>
              <w:rPr>
                <w:rFonts w:eastAsia="宋体" w:cs="Arial"/>
              </w:rPr>
            </w:pPr>
            <w:r>
              <w:rPr>
                <w:rFonts w:cs="Arial"/>
              </w:rPr>
              <w:t>—1—</w:t>
            </w:r>
          </w:p>
        </w:tc>
      </w:tr>
      <w:tr>
        <w:tblPrEx>
          <w:tblBorders>
            <w:top w:val="thickThinLargeGap" w:color="9CC2E5" w:themeColor="accent1" w:themeTint="99" w:sz="24" w:space="0"/>
            <w:left w:val="thickThinLargeGap" w:color="9CC2E5" w:themeColor="accent1" w:themeTint="99" w:sz="24" w:space="0"/>
            <w:bottom w:val="thinThickLargeGap" w:color="9CC2E5" w:themeColor="accent1" w:themeTint="99" w:sz="24" w:space="0"/>
            <w:right w:val="thinThickLargeGap" w:color="9CC2E5" w:themeColor="accent1" w:themeTint="99" w:sz="24" w:space="0"/>
            <w:insideH w:val="none" w:color="auto" w:sz="0" w:space="0"/>
            <w:insideV w:val="none" w:color="auto" w:sz="0" w:space="0"/>
          </w:tblBorders>
          <w:tblCellMar>
            <w:top w:w="113" w:type="dxa"/>
            <w:left w:w="170" w:type="dxa"/>
            <w:bottom w:w="113" w:type="dxa"/>
            <w:right w:w="170" w:type="dxa"/>
          </w:tblCellMar>
        </w:tblPrEx>
        <w:trPr>
          <w:trHeight w:val="14358" w:hRule="atLeast"/>
        </w:trPr>
        <w:tc>
          <w:tcPr>
            <w:tcW w:w="9532" w:type="dxa"/>
          </w:tcPr>
          <w:p>
            <w:pPr>
              <w:adjustRightInd w:val="0"/>
              <w:snapToGrid w:val="0"/>
              <w:spacing w:before="936" w:beforeLines="300"/>
              <w:ind w:left="660" w:leftChars="300" w:right="660" w:rightChars="300"/>
              <w:jc w:val="left"/>
              <w:rPr>
                <w:rFonts w:eastAsia="宋体" w:cs="Arial"/>
                <w:b/>
                <w:bCs/>
                <w:color w:val="000000" w:themeColor="text1"/>
                <w14:textFill>
                  <w14:solidFill>
                    <w14:schemeClr w14:val="tx1"/>
                  </w14:solidFill>
                </w14:textFill>
              </w:rPr>
            </w:pPr>
            <w:r>
              <w:rPr>
                <w:rFonts w:cs="Arial"/>
                <w:b/>
                <w:color w:val="000000" w:themeColor="text1"/>
                <w14:textFill>
                  <w14:solidFill>
                    <w14:schemeClr w14:val="tx1"/>
                  </w14:solidFill>
                </w14:textFill>
              </w:rPr>
              <w:t>Appendix 1</w:t>
            </w:r>
          </w:p>
          <w:p>
            <w:pPr>
              <w:adjustRightInd w:val="0"/>
              <w:snapToGrid w:val="0"/>
              <w:spacing w:before="780" w:beforeLines="250"/>
              <w:ind w:left="660" w:leftChars="300" w:right="660" w:rightChars="300"/>
              <w:jc w:val="center"/>
              <w:rPr>
                <w:rFonts w:eastAsia="宋体" w:cs="Arial"/>
                <w:b/>
                <w:bCs/>
                <w:color w:val="000000" w:themeColor="text1"/>
                <w:sz w:val="32"/>
                <w:szCs w:val="32"/>
                <w14:textFill>
                  <w14:solidFill>
                    <w14:schemeClr w14:val="tx1"/>
                  </w14:solidFill>
                </w14:textFill>
              </w:rPr>
            </w:pPr>
            <w:r>
              <w:rPr>
                <w:rFonts w:cs="Arial"/>
                <w:b/>
                <w:color w:val="000000" w:themeColor="text1"/>
                <w:sz w:val="32"/>
                <w14:textFill>
                  <w14:solidFill>
                    <w14:schemeClr w14:val="tx1"/>
                  </w14:solidFill>
                </w14:textFill>
              </w:rPr>
              <w:t>Ministry of Agriculture and Rural Affairs</w:t>
            </w:r>
          </w:p>
          <w:p>
            <w:pPr>
              <w:adjustRightInd w:val="0"/>
              <w:snapToGrid w:val="0"/>
              <w:spacing w:after="468" w:afterLines="150"/>
              <w:ind w:left="660" w:leftChars="300" w:right="660" w:rightChars="300"/>
              <w:jc w:val="center"/>
              <w:rPr>
                <w:rFonts w:eastAsia="宋体" w:cs="Arial"/>
                <w:b/>
                <w:bCs/>
                <w:color w:val="000000" w:themeColor="text1"/>
                <w:sz w:val="32"/>
                <w:szCs w:val="32"/>
                <w14:textFill>
                  <w14:solidFill>
                    <w14:schemeClr w14:val="tx1"/>
                  </w14:solidFill>
                </w14:textFill>
              </w:rPr>
            </w:pPr>
            <w:r>
              <w:rPr>
                <w:rFonts w:cs="Arial"/>
                <w:b/>
                <w:color w:val="000000" w:themeColor="text1"/>
                <w:sz w:val="32"/>
                <w14:textFill>
                  <w14:solidFill>
                    <w14:schemeClr w14:val="tx1"/>
                  </w14:solidFill>
                </w14:textFill>
              </w:rPr>
              <w:t>Provisional Rules for Overseas Veterinarians at the 19th Asian Games</w:t>
            </w:r>
          </w:p>
          <w:p>
            <w:pPr>
              <w:adjustRightInd w:val="0"/>
              <w:snapToGrid w:val="0"/>
              <w:spacing w:line="360" w:lineRule="auto"/>
              <w:ind w:left="660" w:leftChars="300" w:right="660" w:rightChars="300"/>
              <w:rPr>
                <w:rFonts w:eastAsia="宋体" w:cs="Arial"/>
              </w:rPr>
            </w:pPr>
            <w:r>
              <w:rPr>
                <w:rFonts w:cs="Arial"/>
              </w:rPr>
              <w:t>To better manage overseas veterinarians who provide supporting service</w:t>
            </w:r>
            <w:r>
              <w:rPr>
                <w:rFonts w:hint="eastAsia" w:cs="Arial"/>
                <w:lang w:val="en-US" w:eastAsia="zh-CN"/>
              </w:rPr>
              <w:t>s</w:t>
            </w:r>
            <w:r>
              <w:rPr>
                <w:rFonts w:cs="Arial"/>
              </w:rPr>
              <w:t xml:space="preserve"> to </w:t>
            </w:r>
            <w:r>
              <w:rPr>
                <w:rFonts w:hint="eastAsia" w:cs="Arial"/>
                <w:lang w:val="en-US" w:eastAsia="zh-CN"/>
              </w:rPr>
              <w:t xml:space="preserve">the </w:t>
            </w:r>
            <w:r>
              <w:rPr>
                <w:rFonts w:cs="Arial"/>
              </w:rPr>
              <w:t xml:space="preserve">equestrian competitions of the 19th Asian Games and ensure the smooth running of equestrian events, the following rules are established </w:t>
            </w:r>
            <w:r>
              <w:rPr>
                <w:rFonts w:hint="eastAsia" w:cs="Arial"/>
              </w:rPr>
              <w:t>in accordance with</w:t>
            </w:r>
            <w:r>
              <w:rPr>
                <w:rFonts w:cs="Arial"/>
              </w:rPr>
              <w:t xml:space="preserve"> the </w:t>
            </w:r>
            <w:r>
              <w:rPr>
                <w:rFonts w:cs="Arial"/>
                <w:i/>
                <w:iCs/>
              </w:rPr>
              <w:t>Law of the People’s Republic of China on Animal Epidemic Prevention</w:t>
            </w:r>
            <w:r>
              <w:rPr>
                <w:rFonts w:cs="Arial"/>
              </w:rPr>
              <w:t xml:space="preserve"> and the </w:t>
            </w:r>
            <w:r>
              <w:rPr>
                <w:rFonts w:cs="Arial"/>
                <w:i/>
                <w:iCs/>
              </w:rPr>
              <w:t>Administrative Measures for Practi</w:t>
            </w:r>
            <w:r>
              <w:rPr>
                <w:rFonts w:hint="eastAsia" w:cs="Arial"/>
                <w:i/>
                <w:iCs/>
              </w:rPr>
              <w:t>s</w:t>
            </w:r>
            <w:r>
              <w:rPr>
                <w:rFonts w:cs="Arial"/>
                <w:i/>
                <w:iCs/>
              </w:rPr>
              <w:t>ing Veterinarians</w:t>
            </w:r>
            <w:r>
              <w:rPr>
                <w:rFonts w:cs="Arial"/>
              </w:rPr>
              <w:t>:</w:t>
            </w:r>
          </w:p>
          <w:p>
            <w:pPr>
              <w:adjustRightInd w:val="0"/>
              <w:snapToGrid w:val="0"/>
              <w:spacing w:line="360" w:lineRule="auto"/>
              <w:ind w:left="660" w:leftChars="300" w:right="660" w:rightChars="300"/>
              <w:rPr>
                <w:rFonts w:eastAsia="宋体" w:cs="Arial"/>
              </w:rPr>
            </w:pPr>
            <w:r>
              <w:rPr>
                <w:rFonts w:cs="Arial"/>
              </w:rPr>
              <w:t>1. Overseas veterinarians who provide supporting service</w:t>
            </w:r>
            <w:r>
              <w:rPr>
                <w:rFonts w:hint="eastAsia" w:cs="Arial"/>
                <w:lang w:val="en-US" w:eastAsia="zh-CN"/>
              </w:rPr>
              <w:t>s</w:t>
            </w:r>
            <w:r>
              <w:rPr>
                <w:rFonts w:cs="Arial"/>
              </w:rPr>
              <w:t xml:space="preserve"> to </w:t>
            </w:r>
            <w:r>
              <w:rPr>
                <w:rFonts w:hint="eastAsia" w:cs="Arial"/>
                <w:lang w:val="en-US" w:eastAsia="zh-CN"/>
              </w:rPr>
              <w:t xml:space="preserve">the </w:t>
            </w:r>
            <w:r>
              <w:rPr>
                <w:rFonts w:cs="Arial"/>
              </w:rPr>
              <w:t xml:space="preserve">equestrian competitions of the 19th Asian Games </w:t>
            </w:r>
            <w:r>
              <w:rPr>
                <w:rFonts w:hint="eastAsia" w:cs="Arial"/>
              </w:rPr>
              <w:t xml:space="preserve">shall </w:t>
            </w:r>
            <w:r>
              <w:rPr>
                <w:rFonts w:cs="Arial"/>
              </w:rPr>
              <w:t xml:space="preserve">obtain a temporary </w:t>
            </w:r>
            <w:r>
              <w:rPr>
                <w:rFonts w:hint="eastAsia" w:cs="Arial"/>
              </w:rPr>
              <w:t xml:space="preserve">qualification certificate for practising </w:t>
            </w:r>
            <w:r>
              <w:rPr>
                <w:rFonts w:cs="Arial"/>
              </w:rPr>
              <w:t>veterinarian</w:t>
            </w:r>
            <w:r>
              <w:rPr>
                <w:rFonts w:hint="eastAsia" w:cs="Arial"/>
              </w:rPr>
              <w:t>s</w:t>
            </w:r>
            <w:r>
              <w:rPr>
                <w:rFonts w:cs="Arial"/>
              </w:rPr>
              <w:t xml:space="preserve"> issued by the Department of Agriculture and Rural Affairs of Zhejiang Province.</w:t>
            </w:r>
          </w:p>
          <w:p>
            <w:pPr>
              <w:adjustRightInd w:val="0"/>
              <w:snapToGrid w:val="0"/>
              <w:spacing w:line="360" w:lineRule="auto"/>
              <w:ind w:left="660" w:leftChars="300" w:right="660" w:rightChars="300"/>
              <w:rPr>
                <w:rFonts w:eastAsia="宋体" w:cs="Arial"/>
              </w:rPr>
            </w:pPr>
            <w:r>
              <w:rPr>
                <w:rFonts w:cs="Arial"/>
              </w:rPr>
              <w:t xml:space="preserve">2. Overseas veterinarians who apply for a temporary </w:t>
            </w:r>
            <w:r>
              <w:rPr>
                <w:rFonts w:hint="eastAsia" w:cs="Arial"/>
              </w:rPr>
              <w:t xml:space="preserve">qualification certificate for practising </w:t>
            </w:r>
            <w:r>
              <w:rPr>
                <w:rFonts w:cs="Arial"/>
              </w:rPr>
              <w:t>veterinarian</w:t>
            </w:r>
            <w:r>
              <w:rPr>
                <w:rFonts w:hint="eastAsia" w:cs="Arial"/>
              </w:rPr>
              <w:t>s</w:t>
            </w:r>
            <w:r>
              <w:rPr>
                <w:rFonts w:cs="Arial"/>
              </w:rPr>
              <w:t xml:space="preserve"> </w:t>
            </w:r>
            <w:r>
              <w:rPr>
                <w:rFonts w:hint="eastAsia" w:cs="Arial"/>
              </w:rPr>
              <w:t xml:space="preserve">shall </w:t>
            </w:r>
            <w:r>
              <w:rPr>
                <w:rFonts w:cs="Arial"/>
              </w:rPr>
              <w:t>meet the following requirements:</w:t>
            </w:r>
          </w:p>
          <w:p>
            <w:pPr>
              <w:adjustRightInd w:val="0"/>
              <w:snapToGrid w:val="0"/>
              <w:spacing w:line="360" w:lineRule="auto"/>
              <w:ind w:left="660" w:leftChars="300" w:right="660" w:rightChars="300"/>
              <w:rPr>
                <w:rFonts w:eastAsia="宋体" w:cs="Arial"/>
              </w:rPr>
            </w:pPr>
            <w:r>
              <w:rPr>
                <w:rFonts w:cs="Arial"/>
              </w:rPr>
              <w:t xml:space="preserve">2.1 Possess a veterinarian </w:t>
            </w:r>
            <w:r>
              <w:rPr>
                <w:rFonts w:hint="eastAsia" w:cs="Arial"/>
              </w:rPr>
              <w:t xml:space="preserve">qualification certificate </w:t>
            </w:r>
            <w:r>
              <w:rPr>
                <w:rFonts w:cs="Arial"/>
              </w:rPr>
              <w:t xml:space="preserve">recognised in the country or region </w:t>
            </w:r>
            <w:r>
              <w:rPr>
                <w:rFonts w:hint="eastAsia" w:cs="Arial"/>
              </w:rPr>
              <w:t>he/she practises</w:t>
            </w:r>
            <w:r>
              <w:rPr>
                <w:rFonts w:cs="Arial"/>
              </w:rPr>
              <w:t>;</w:t>
            </w:r>
          </w:p>
          <w:p>
            <w:pPr>
              <w:adjustRightInd w:val="0"/>
              <w:snapToGrid w:val="0"/>
              <w:spacing w:line="360" w:lineRule="auto"/>
              <w:ind w:left="660" w:leftChars="300" w:right="660" w:rightChars="300"/>
              <w:rPr>
                <w:rFonts w:eastAsia="宋体" w:cs="Arial"/>
              </w:rPr>
            </w:pPr>
            <w:r>
              <w:rPr>
                <w:rFonts w:cs="Arial"/>
              </w:rPr>
              <w:t>2.2 Support equestrian competitions at the 19th Asian Games;</w:t>
            </w:r>
          </w:p>
          <w:p>
            <w:pPr>
              <w:adjustRightInd w:val="0"/>
              <w:snapToGrid w:val="0"/>
              <w:spacing w:line="360" w:lineRule="auto"/>
              <w:ind w:left="660" w:leftChars="300" w:right="660" w:rightChars="300"/>
              <w:rPr>
                <w:rFonts w:eastAsia="宋体" w:cs="Arial"/>
              </w:rPr>
            </w:pPr>
            <w:r>
              <w:rPr>
                <w:rFonts w:cs="Arial"/>
              </w:rPr>
              <w:t xml:space="preserve">2.3 Be free from any infectious disease that can be transmitted between humans and </w:t>
            </w:r>
            <w:bookmarkStart w:id="0" w:name="OLE_LINK2"/>
            <w:bookmarkStart w:id="1" w:name="OLE_LINK1"/>
            <w:r>
              <w:rPr>
                <w:rFonts w:cs="Arial"/>
              </w:rPr>
              <w:t>equine</w:t>
            </w:r>
            <w:bookmarkEnd w:id="0"/>
            <w:bookmarkEnd w:id="1"/>
            <w:r>
              <w:rPr>
                <w:rFonts w:cs="Arial"/>
              </w:rPr>
              <w:t xml:space="preserve"> animals.</w:t>
            </w:r>
          </w:p>
          <w:p>
            <w:pPr>
              <w:adjustRightInd w:val="0"/>
              <w:snapToGrid w:val="0"/>
              <w:spacing w:line="360" w:lineRule="auto"/>
              <w:ind w:left="660" w:leftChars="300" w:right="660" w:rightChars="300"/>
              <w:rPr>
                <w:rFonts w:eastAsia="宋体" w:cs="Arial"/>
              </w:rPr>
            </w:pPr>
            <w:r>
              <w:rPr>
                <w:rFonts w:cs="Arial"/>
              </w:rPr>
              <w:t xml:space="preserve">3. Respective National Olympic Committees (NOCs) of overseas veterinarians </w:t>
            </w:r>
            <w:r>
              <w:rPr>
                <w:rFonts w:hint="eastAsia" w:cs="Arial"/>
              </w:rPr>
              <w:t xml:space="preserve">shall </w:t>
            </w:r>
            <w:r>
              <w:rPr>
                <w:rFonts w:cs="Arial"/>
              </w:rPr>
              <w:t xml:space="preserve">submit the following documents to the 19th Asian Games Hangzhou 2022 Organising Committee (HAGOC), which will transfer the documents to the Department of Agriculture and Rural Affairs of Zhejiang Province before </w:t>
            </w:r>
            <w:commentRangeStart w:id="0"/>
            <w:r>
              <w:rPr>
                <w:rFonts w:cs="Arial"/>
                <w:highlight w:val="green"/>
              </w:rPr>
              <w:t>1 July 2022</w:t>
            </w:r>
            <w:commentRangeEnd w:id="0"/>
            <w:r>
              <w:commentReference w:id="0"/>
            </w:r>
            <w:r>
              <w:rPr>
                <w:rFonts w:cs="Arial"/>
              </w:rPr>
              <w:t>:</w:t>
            </w:r>
          </w:p>
          <w:p>
            <w:pPr>
              <w:adjustRightInd w:val="0"/>
              <w:snapToGrid w:val="0"/>
              <w:spacing w:line="360" w:lineRule="auto"/>
              <w:ind w:left="660" w:leftChars="300" w:right="660" w:rightChars="300"/>
              <w:rPr>
                <w:rFonts w:eastAsia="宋体" w:cs="Arial"/>
              </w:rPr>
            </w:pPr>
            <w:r>
              <w:rPr>
                <w:rFonts w:cs="Arial"/>
              </w:rPr>
              <w:t xml:space="preserve">3.1 Application Form for Temporary </w:t>
            </w:r>
            <w:r>
              <w:rPr>
                <w:rFonts w:hint="eastAsia" w:cs="Arial"/>
              </w:rPr>
              <w:t xml:space="preserve">Eligibility as Practising </w:t>
            </w:r>
            <w:r>
              <w:rPr>
                <w:rFonts w:cs="Arial"/>
              </w:rPr>
              <w:t>Veterinarian</w:t>
            </w:r>
            <w:r>
              <w:rPr>
                <w:rFonts w:hint="eastAsia" w:cs="Arial"/>
              </w:rPr>
              <w:t>s</w:t>
            </w:r>
            <w:r>
              <w:rPr>
                <w:rFonts w:cs="Arial"/>
              </w:rPr>
              <w:t xml:space="preserve"> for the 19th Asian Games;</w:t>
            </w:r>
          </w:p>
          <w:p>
            <w:pPr>
              <w:adjustRightInd w:val="0"/>
              <w:snapToGrid w:val="0"/>
              <w:spacing w:line="360" w:lineRule="auto"/>
              <w:ind w:left="660" w:leftChars="300" w:right="660" w:rightChars="300"/>
              <w:rPr>
                <w:rFonts w:eastAsia="宋体" w:cs="Arial"/>
              </w:rPr>
            </w:pPr>
            <w:r>
              <w:rPr>
                <w:rFonts w:cs="Arial"/>
              </w:rPr>
              <w:t>3.2 A copy of the identity document of the overseas veterinarian;</w:t>
            </w:r>
          </w:p>
          <w:p>
            <w:pPr>
              <w:adjustRightInd w:val="0"/>
              <w:snapToGrid w:val="0"/>
              <w:spacing w:line="360" w:lineRule="auto"/>
              <w:ind w:left="660" w:leftChars="300" w:right="660" w:rightChars="300"/>
              <w:rPr>
                <w:rFonts w:eastAsia="宋体" w:cs="Arial"/>
              </w:rPr>
            </w:pPr>
            <w:r>
              <w:rPr>
                <w:rFonts w:cs="Arial"/>
              </w:rPr>
              <w:t>3.3 An electronic full-face photo of the veterinarian (dimensions: 413 × 531 pixels (width × height), resolution: 300dpi, file size: 100KB to 500KB);</w:t>
            </w:r>
          </w:p>
          <w:p>
            <w:pPr>
              <w:adjustRightInd w:val="0"/>
              <w:snapToGrid w:val="0"/>
              <w:spacing w:line="360" w:lineRule="auto"/>
              <w:ind w:left="660" w:leftChars="300" w:right="660" w:rightChars="300"/>
              <w:jc w:val="left"/>
              <w:rPr>
                <w:rFonts w:eastAsia="宋体" w:cs="Arial"/>
                <w:b/>
                <w:bCs/>
                <w:color w:val="FF0000"/>
              </w:rPr>
            </w:pPr>
            <w:r>
              <w:rPr>
                <w:rFonts w:cs="Arial"/>
              </w:rPr>
              <w:t>—2—</w:t>
            </w:r>
          </w:p>
        </w:tc>
      </w:tr>
      <w:tr>
        <w:tblPrEx>
          <w:tblBorders>
            <w:top w:val="thickThinLargeGap" w:color="9CC2E5" w:themeColor="accent1" w:themeTint="99" w:sz="24" w:space="0"/>
            <w:left w:val="thickThinLargeGap" w:color="9CC2E5" w:themeColor="accent1" w:themeTint="99" w:sz="24" w:space="0"/>
            <w:bottom w:val="thinThickLargeGap" w:color="9CC2E5" w:themeColor="accent1" w:themeTint="99" w:sz="24" w:space="0"/>
            <w:right w:val="thinThickLargeGap" w:color="9CC2E5" w:themeColor="accent1" w:themeTint="99" w:sz="24" w:space="0"/>
            <w:insideH w:val="none" w:color="auto" w:sz="0" w:space="0"/>
            <w:insideV w:val="none" w:color="auto" w:sz="0" w:space="0"/>
          </w:tblBorders>
          <w:tblCellMar>
            <w:top w:w="113" w:type="dxa"/>
            <w:left w:w="170" w:type="dxa"/>
            <w:bottom w:w="113" w:type="dxa"/>
            <w:right w:w="170" w:type="dxa"/>
          </w:tblCellMar>
        </w:tblPrEx>
        <w:trPr>
          <w:trHeight w:val="14358" w:hRule="atLeast"/>
        </w:trPr>
        <w:tc>
          <w:tcPr>
            <w:tcW w:w="9532" w:type="dxa"/>
          </w:tcPr>
          <w:p>
            <w:pPr>
              <w:adjustRightInd w:val="0"/>
              <w:snapToGrid w:val="0"/>
              <w:spacing w:before="936" w:beforeLines="300" w:line="360" w:lineRule="auto"/>
              <w:ind w:left="660" w:leftChars="300" w:right="660" w:rightChars="300"/>
              <w:rPr>
                <w:rFonts w:eastAsia="宋体" w:cs="Arial"/>
              </w:rPr>
            </w:pPr>
            <w:r>
              <w:rPr>
                <w:rFonts w:cs="Arial"/>
              </w:rPr>
              <w:t xml:space="preserve">3.4 A copy of a veterinarian </w:t>
            </w:r>
            <w:r>
              <w:rPr>
                <w:rFonts w:hint="eastAsia" w:cs="Arial"/>
              </w:rPr>
              <w:t xml:space="preserve">qualification certificate </w:t>
            </w:r>
            <w:r>
              <w:rPr>
                <w:rFonts w:cs="Arial"/>
              </w:rPr>
              <w:t xml:space="preserve">recognised in the country or region </w:t>
            </w:r>
            <w:r>
              <w:rPr>
                <w:rFonts w:hint="eastAsia" w:cs="Arial"/>
              </w:rPr>
              <w:t>he/she practises</w:t>
            </w:r>
            <w:r>
              <w:rPr>
                <w:rFonts w:cs="Arial"/>
              </w:rPr>
              <w:t>;</w:t>
            </w:r>
          </w:p>
          <w:p>
            <w:pPr>
              <w:adjustRightInd w:val="0"/>
              <w:snapToGrid w:val="0"/>
              <w:spacing w:line="360" w:lineRule="auto"/>
              <w:ind w:left="660" w:leftChars="300" w:right="660" w:rightChars="300"/>
              <w:rPr>
                <w:rFonts w:eastAsia="宋体" w:cs="Arial"/>
              </w:rPr>
            </w:pPr>
            <w:r>
              <w:rPr>
                <w:rFonts w:cs="Arial"/>
              </w:rPr>
              <w:t xml:space="preserve">3.5 </w:t>
            </w:r>
            <w:r>
              <w:rPr>
                <w:rFonts w:hint="eastAsia" w:cs="Arial"/>
              </w:rPr>
              <w:t xml:space="preserve">Any supporting documents </w:t>
            </w:r>
            <w:r>
              <w:rPr>
                <w:rFonts w:cs="Arial"/>
              </w:rPr>
              <w:t xml:space="preserve">provided by HAGOC that </w:t>
            </w:r>
            <w:r>
              <w:rPr>
                <w:rFonts w:hint="eastAsia" w:cs="Arial"/>
              </w:rPr>
              <w:t>prove</w:t>
            </w:r>
            <w:r>
              <w:rPr>
                <w:rFonts w:cs="Arial"/>
              </w:rPr>
              <w:t xml:space="preserve"> that</w:t>
            </w:r>
            <w:r>
              <w:rPr>
                <w:rFonts w:hint="eastAsia" w:cs="Arial"/>
              </w:rPr>
              <w:t xml:space="preserve"> </w:t>
            </w:r>
            <w:r>
              <w:rPr>
                <w:rFonts w:cs="Arial"/>
              </w:rPr>
              <w:t>the veterinarian will serve the 19th Asian Games.</w:t>
            </w:r>
          </w:p>
          <w:p>
            <w:pPr>
              <w:adjustRightInd w:val="0"/>
              <w:snapToGrid w:val="0"/>
              <w:spacing w:line="360" w:lineRule="auto"/>
              <w:ind w:left="660" w:leftChars="300" w:right="660" w:rightChars="300"/>
              <w:rPr>
                <w:rFonts w:eastAsia="宋体" w:cs="Arial"/>
              </w:rPr>
            </w:pPr>
            <w:r>
              <w:rPr>
                <w:rFonts w:cs="Arial"/>
              </w:rPr>
              <w:t xml:space="preserve">4. The Department of Agriculture and Rural Affairs of Zhejiang Province will review the submitted applications of overseas veterinarians serving equestrian competitions for the 19th Asian Games. Qualified applicants will receive a temporary </w:t>
            </w:r>
            <w:r>
              <w:rPr>
                <w:rFonts w:hint="eastAsia" w:cs="Arial"/>
              </w:rPr>
              <w:t xml:space="preserve">qualification certificate for practising </w:t>
            </w:r>
            <w:r>
              <w:rPr>
                <w:rFonts w:cs="Arial"/>
              </w:rPr>
              <w:t>veterinarian</w:t>
            </w:r>
            <w:r>
              <w:rPr>
                <w:rFonts w:hint="eastAsia" w:cs="Arial"/>
              </w:rPr>
              <w:t>s</w:t>
            </w:r>
            <w:r>
              <w:rPr>
                <w:rFonts w:cs="Arial"/>
              </w:rPr>
              <w:t xml:space="preserve"> from the department. The validity period of the </w:t>
            </w:r>
            <w:r>
              <w:rPr>
                <w:rFonts w:hint="eastAsia" w:cs="Arial"/>
              </w:rPr>
              <w:t xml:space="preserve">certificate </w:t>
            </w:r>
            <w:r>
              <w:rPr>
                <w:rFonts w:cs="Arial"/>
              </w:rPr>
              <w:t>will be determined based on the competition schedule of equestrian events and other factors.</w:t>
            </w:r>
          </w:p>
          <w:p>
            <w:pPr>
              <w:adjustRightInd w:val="0"/>
              <w:snapToGrid w:val="0"/>
              <w:spacing w:line="360" w:lineRule="auto"/>
              <w:ind w:left="660" w:leftChars="300" w:right="660" w:rightChars="300"/>
              <w:rPr>
                <w:rFonts w:eastAsia="宋体" w:cs="Arial"/>
              </w:rPr>
            </w:pPr>
            <w:r>
              <w:rPr>
                <w:rFonts w:cs="Arial"/>
              </w:rPr>
              <w:t xml:space="preserve">5. Hangzhou Municipal Bureau of Agriculture and Rural Affairs will register and manage overseas veterinarians who have obtained the temporary </w:t>
            </w:r>
            <w:r>
              <w:rPr>
                <w:rFonts w:hint="eastAsia" w:cs="Arial"/>
              </w:rPr>
              <w:t xml:space="preserve">qualification certificate for practising </w:t>
            </w:r>
            <w:r>
              <w:rPr>
                <w:rFonts w:cs="Arial"/>
              </w:rPr>
              <w:t>veterinarian</w:t>
            </w:r>
            <w:r>
              <w:rPr>
                <w:rFonts w:hint="eastAsia" w:cs="Arial"/>
              </w:rPr>
              <w:t>s</w:t>
            </w:r>
            <w:r>
              <w:rPr>
                <w:rFonts w:cs="Arial"/>
              </w:rPr>
              <w:t xml:space="preserve"> in accordance with the </w:t>
            </w:r>
            <w:r>
              <w:rPr>
                <w:rFonts w:cs="Arial"/>
                <w:i/>
                <w:iCs/>
              </w:rPr>
              <w:t>Administrative Measures for Practi</w:t>
            </w:r>
            <w:r>
              <w:rPr>
                <w:rFonts w:hint="eastAsia" w:cs="Arial"/>
                <w:i/>
                <w:iCs/>
              </w:rPr>
              <w:t>s</w:t>
            </w:r>
            <w:r>
              <w:rPr>
                <w:rFonts w:cs="Arial"/>
                <w:i/>
                <w:iCs/>
              </w:rPr>
              <w:t>ing Veterinarians</w:t>
            </w:r>
            <w:r>
              <w:rPr>
                <w:rFonts w:cs="Arial"/>
              </w:rPr>
              <w:t xml:space="preserve"> and other relevant regulations.</w:t>
            </w:r>
          </w:p>
          <w:p>
            <w:pPr>
              <w:adjustRightInd w:val="0"/>
              <w:snapToGrid w:val="0"/>
              <w:spacing w:line="360" w:lineRule="auto"/>
              <w:ind w:left="660" w:leftChars="300" w:right="660" w:rightChars="300"/>
              <w:rPr>
                <w:rFonts w:eastAsia="宋体" w:cs="Arial"/>
              </w:rPr>
            </w:pPr>
            <w:r>
              <w:rPr>
                <w:rFonts w:cs="Arial"/>
              </w:rPr>
              <w:t xml:space="preserve">6. During the validity period of their temporary </w:t>
            </w:r>
            <w:r>
              <w:rPr>
                <w:rFonts w:hint="eastAsia" w:cs="Arial"/>
              </w:rPr>
              <w:t>qualification certificate</w:t>
            </w:r>
            <w:r>
              <w:rPr>
                <w:rFonts w:hint="eastAsia" w:cs="Arial"/>
                <w:lang w:val="en-US" w:eastAsia="zh-CN"/>
              </w:rPr>
              <w:t>s</w:t>
            </w:r>
            <w:r>
              <w:rPr>
                <w:rFonts w:cs="Arial"/>
              </w:rPr>
              <w:t xml:space="preserve">, overseas veterinarians can provide only diagnosis, treatment, and health care services for the horses participating in the 19th Asian Games. They must abide by laws and regulations including the </w:t>
            </w:r>
            <w:r>
              <w:rPr>
                <w:rFonts w:cs="Arial"/>
                <w:i/>
                <w:iCs/>
              </w:rPr>
              <w:t>Law of the People’s Republic of China on Animal Epidemic Prevention</w:t>
            </w:r>
            <w:r>
              <w:rPr>
                <w:rFonts w:cs="Arial"/>
              </w:rPr>
              <w:t xml:space="preserve">, the </w:t>
            </w:r>
            <w:r>
              <w:rPr>
                <w:rFonts w:cs="Arial"/>
                <w:i/>
                <w:iCs/>
              </w:rPr>
              <w:t xml:space="preserve">Regulations on </w:t>
            </w:r>
            <w:r>
              <w:rPr>
                <w:rFonts w:hint="eastAsia" w:cs="Arial"/>
                <w:i/>
                <w:iCs/>
              </w:rPr>
              <w:t xml:space="preserve">the Control </w:t>
            </w:r>
            <w:r>
              <w:rPr>
                <w:rFonts w:cs="Arial"/>
                <w:i/>
                <w:iCs/>
              </w:rPr>
              <w:t>of Veterinary Drugs</w:t>
            </w:r>
            <w:r>
              <w:rPr>
                <w:rFonts w:cs="Arial"/>
              </w:rPr>
              <w:t xml:space="preserve">, and the </w:t>
            </w:r>
            <w:r>
              <w:rPr>
                <w:rFonts w:cs="Arial"/>
                <w:i/>
                <w:iCs/>
              </w:rPr>
              <w:t>Administrative Measures for Practi</w:t>
            </w:r>
            <w:r>
              <w:rPr>
                <w:rFonts w:hint="eastAsia" w:cs="Arial"/>
                <w:i/>
                <w:iCs/>
              </w:rPr>
              <w:t>s</w:t>
            </w:r>
            <w:r>
              <w:rPr>
                <w:rFonts w:cs="Arial"/>
                <w:i/>
                <w:iCs/>
              </w:rPr>
              <w:t>ing Veterinarians</w:t>
            </w:r>
            <w:r>
              <w:rPr>
                <w:rFonts w:cs="Arial"/>
              </w:rPr>
              <w:t>.</w:t>
            </w:r>
          </w:p>
          <w:p>
            <w:pPr>
              <w:adjustRightInd w:val="0"/>
              <w:snapToGrid w:val="0"/>
              <w:spacing w:after="1248" w:afterLines="400" w:line="360" w:lineRule="auto"/>
              <w:ind w:left="660" w:leftChars="300" w:right="660" w:rightChars="300"/>
              <w:rPr>
                <w:rFonts w:eastAsia="宋体" w:cs="Arial"/>
              </w:rPr>
            </w:pPr>
            <w:r>
              <w:rPr>
                <w:rFonts w:cs="Arial"/>
              </w:rPr>
              <w:t>7. For the purpose of the Rules, the term “veterinarians” include members of veterinary committees, veterinarians hired by HAGOC, and team veterinarians.</w:t>
            </w:r>
          </w:p>
          <w:p>
            <w:pPr>
              <w:adjustRightInd w:val="0"/>
              <w:snapToGrid w:val="0"/>
              <w:spacing w:line="360" w:lineRule="auto"/>
              <w:ind w:left="660" w:leftChars="300" w:right="660" w:rightChars="300"/>
              <w:jc w:val="right"/>
              <w:rPr>
                <w:rFonts w:eastAsia="宋体" w:cs="Arial"/>
                <w:b/>
                <w:bCs/>
                <w:color w:val="000000" w:themeColor="text1"/>
                <w14:textFill>
                  <w14:solidFill>
                    <w14:schemeClr w14:val="tx1"/>
                  </w14:solidFill>
                </w14:textFill>
              </w:rPr>
            </w:pPr>
            <w:r>
              <w:rPr>
                <w:rFonts w:cs="Arial"/>
              </w:rPr>
              <w:t>—3—</w:t>
            </w:r>
          </w:p>
        </w:tc>
      </w:tr>
      <w:tr>
        <w:tblPrEx>
          <w:tblBorders>
            <w:top w:val="thickThinLargeGap" w:color="9CC2E5" w:themeColor="accent1" w:themeTint="99" w:sz="24" w:space="0"/>
            <w:left w:val="thickThinLargeGap" w:color="9CC2E5" w:themeColor="accent1" w:themeTint="99" w:sz="24" w:space="0"/>
            <w:bottom w:val="thinThickLargeGap" w:color="9CC2E5" w:themeColor="accent1" w:themeTint="99" w:sz="24" w:space="0"/>
            <w:right w:val="thinThickLargeGap" w:color="9CC2E5" w:themeColor="accent1" w:themeTint="99" w:sz="24" w:space="0"/>
            <w:insideH w:val="none" w:color="auto" w:sz="0" w:space="0"/>
            <w:insideV w:val="none" w:color="auto" w:sz="0" w:space="0"/>
          </w:tblBorders>
          <w:tblCellMar>
            <w:top w:w="113" w:type="dxa"/>
            <w:left w:w="170" w:type="dxa"/>
            <w:bottom w:w="113" w:type="dxa"/>
            <w:right w:w="170" w:type="dxa"/>
          </w:tblCellMar>
        </w:tblPrEx>
        <w:trPr>
          <w:trHeight w:val="13946" w:hRule="atLeast"/>
        </w:trPr>
        <w:tc>
          <w:tcPr>
            <w:tcW w:w="9532" w:type="dxa"/>
          </w:tcPr>
          <w:p>
            <w:pPr>
              <w:adjustRightInd w:val="0"/>
              <w:snapToGrid w:val="0"/>
              <w:spacing w:before="936" w:beforeLines="300"/>
              <w:ind w:left="660" w:leftChars="300" w:right="660" w:rightChars="300"/>
              <w:jc w:val="left"/>
              <w:rPr>
                <w:rFonts w:eastAsia="宋体" w:cs="Arial"/>
                <w:b/>
                <w:bCs/>
                <w:color w:val="000000" w:themeColor="text1"/>
                <w14:textFill>
                  <w14:solidFill>
                    <w14:schemeClr w14:val="tx1"/>
                  </w14:solidFill>
                </w14:textFill>
              </w:rPr>
            </w:pPr>
            <w:r>
              <w:rPr>
                <w:rFonts w:cs="Arial"/>
                <w:b/>
                <w:color w:val="000000" w:themeColor="text1"/>
                <w14:textFill>
                  <w14:solidFill>
                    <w14:schemeClr w14:val="tx1"/>
                  </w14:solidFill>
                </w14:textFill>
              </w:rPr>
              <w:t>Appendix 2</w:t>
            </w:r>
          </w:p>
          <w:p>
            <w:pPr>
              <w:adjustRightInd w:val="0"/>
              <w:snapToGrid w:val="0"/>
              <w:spacing w:before="780" w:beforeLines="250" w:after="312" w:afterLines="100"/>
              <w:ind w:left="660" w:leftChars="300" w:right="660" w:rightChars="300"/>
              <w:jc w:val="center"/>
              <w:rPr>
                <w:rFonts w:eastAsia="宋体" w:cs="Arial"/>
                <w:b/>
                <w:bCs/>
                <w:color w:val="000000" w:themeColor="text1"/>
                <w:sz w:val="32"/>
                <w:szCs w:val="32"/>
                <w14:textFill>
                  <w14:solidFill>
                    <w14:schemeClr w14:val="tx1"/>
                  </w14:solidFill>
                </w14:textFill>
              </w:rPr>
            </w:pPr>
            <w:r>
              <w:rPr>
                <w:rFonts w:cs="Arial"/>
                <w:b/>
                <w:color w:val="000000" w:themeColor="text1"/>
                <w:sz w:val="32"/>
                <w14:textFill>
                  <w14:solidFill>
                    <w14:schemeClr w14:val="tx1"/>
                  </w14:solidFill>
                </w14:textFill>
              </w:rPr>
              <w:t xml:space="preserve">Application Form for </w:t>
            </w:r>
            <w:r>
              <w:rPr>
                <w:rFonts w:hint="eastAsia" w:cs="Arial"/>
                <w:b/>
                <w:color w:val="000000" w:themeColor="text1"/>
                <w:sz w:val="32"/>
                <w14:textFill>
                  <w14:solidFill>
                    <w14:schemeClr w14:val="tx1"/>
                  </w14:solidFill>
                </w14:textFill>
              </w:rPr>
              <w:t>Temporary Eligibility as Practising Veterinarians for the 19th Asian Games</w:t>
            </w:r>
          </w:p>
          <w:tbl>
            <w:tblPr>
              <w:tblStyle w:val="5"/>
              <w:tblW w:w="41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906"/>
              <w:gridCol w:w="1559"/>
              <w:gridCol w:w="1135"/>
              <w:gridCol w:w="254"/>
              <w:gridCol w:w="215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588" w:type="pct"/>
                  <w:vAlign w:val="center"/>
                </w:tcPr>
                <w:p>
                  <w:pPr>
                    <w:adjustRightInd w:val="0"/>
                    <w:snapToGrid w:val="0"/>
                    <w:jc w:val="center"/>
                    <w:rPr>
                      <w:rFonts w:eastAsia="宋体" w:cs="Arial"/>
                      <w:b/>
                      <w:bCs/>
                      <w:sz w:val="20"/>
                      <w:szCs w:val="20"/>
                    </w:rPr>
                  </w:pPr>
                  <w:r>
                    <w:rPr>
                      <w:rFonts w:cs="Arial"/>
                      <w:b/>
                      <w:sz w:val="20"/>
                    </w:rPr>
                    <w:t>Name</w:t>
                  </w:r>
                </w:p>
              </w:tc>
              <w:tc>
                <w:tcPr>
                  <w:tcW w:w="1011" w:type="pct"/>
                  <w:vAlign w:val="center"/>
                </w:tcPr>
                <w:p>
                  <w:pPr>
                    <w:adjustRightInd w:val="0"/>
                    <w:snapToGrid w:val="0"/>
                    <w:jc w:val="center"/>
                    <w:rPr>
                      <w:rFonts w:eastAsia="宋体" w:cs="Arial"/>
                      <w:b/>
                      <w:bCs/>
                      <w:sz w:val="20"/>
                      <w:szCs w:val="20"/>
                    </w:rPr>
                  </w:pPr>
                </w:p>
              </w:tc>
              <w:tc>
                <w:tcPr>
                  <w:tcW w:w="736" w:type="pct"/>
                  <w:vAlign w:val="center"/>
                </w:tcPr>
                <w:p>
                  <w:pPr>
                    <w:adjustRightInd w:val="0"/>
                    <w:snapToGrid w:val="0"/>
                    <w:jc w:val="center"/>
                    <w:rPr>
                      <w:rFonts w:eastAsia="宋体" w:cs="Arial"/>
                      <w:b/>
                      <w:bCs/>
                      <w:sz w:val="20"/>
                      <w:szCs w:val="20"/>
                    </w:rPr>
                  </w:pPr>
                  <w:r>
                    <w:rPr>
                      <w:rFonts w:cs="Arial"/>
                      <w:b/>
                      <w:sz w:val="20"/>
                    </w:rPr>
                    <w:t>Date of birth</w:t>
                  </w:r>
                </w:p>
              </w:tc>
              <w:tc>
                <w:tcPr>
                  <w:tcW w:w="1562" w:type="pct"/>
                  <w:gridSpan w:val="2"/>
                </w:tcPr>
                <w:p>
                  <w:pPr>
                    <w:adjustRightInd w:val="0"/>
                    <w:snapToGrid w:val="0"/>
                    <w:jc w:val="left"/>
                    <w:rPr>
                      <w:rFonts w:eastAsia="宋体" w:cs="Arial"/>
                      <w:b/>
                      <w:bCs/>
                      <w:sz w:val="20"/>
                      <w:szCs w:val="20"/>
                    </w:rPr>
                  </w:pPr>
                </w:p>
              </w:tc>
              <w:tc>
                <w:tcPr>
                  <w:tcW w:w="1103" w:type="pct"/>
                  <w:vMerge w:val="restart"/>
                  <w:vAlign w:val="center"/>
                </w:tcPr>
                <w:p>
                  <w:pPr>
                    <w:adjustRightInd w:val="0"/>
                    <w:snapToGrid w:val="0"/>
                    <w:jc w:val="center"/>
                    <w:rPr>
                      <w:rFonts w:eastAsia="宋体" w:cs="Arial"/>
                      <w:b/>
                      <w:bCs/>
                      <w:sz w:val="20"/>
                      <w:szCs w:val="20"/>
                    </w:rPr>
                  </w:pPr>
                  <w:r>
                    <w:rPr>
                      <w:rFonts w:eastAsia="宋体" w:cs="Arial"/>
                      <w:b/>
                      <w:bCs/>
                      <w:sz w:val="20"/>
                      <w:szCs w:val="20"/>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588" w:type="pct"/>
                  <w:vAlign w:val="center"/>
                </w:tcPr>
                <w:p>
                  <w:pPr>
                    <w:adjustRightInd w:val="0"/>
                    <w:snapToGrid w:val="0"/>
                    <w:jc w:val="center"/>
                    <w:rPr>
                      <w:rFonts w:eastAsia="宋体" w:cs="Arial"/>
                      <w:b/>
                      <w:bCs/>
                      <w:sz w:val="20"/>
                      <w:szCs w:val="20"/>
                    </w:rPr>
                  </w:pPr>
                  <w:r>
                    <w:rPr>
                      <w:rFonts w:cs="Arial"/>
                      <w:b/>
                      <w:sz w:val="20"/>
                    </w:rPr>
                    <w:t>Gender</w:t>
                  </w:r>
                </w:p>
              </w:tc>
              <w:tc>
                <w:tcPr>
                  <w:tcW w:w="1011" w:type="pct"/>
                  <w:vAlign w:val="center"/>
                </w:tcPr>
                <w:p>
                  <w:pPr>
                    <w:adjustRightInd w:val="0"/>
                    <w:snapToGrid w:val="0"/>
                    <w:jc w:val="center"/>
                    <w:rPr>
                      <w:rFonts w:eastAsia="宋体" w:cs="Arial"/>
                      <w:b/>
                      <w:bCs/>
                      <w:sz w:val="20"/>
                      <w:szCs w:val="20"/>
                    </w:rPr>
                  </w:pPr>
                </w:p>
              </w:tc>
              <w:tc>
                <w:tcPr>
                  <w:tcW w:w="736" w:type="pct"/>
                  <w:vAlign w:val="center"/>
                </w:tcPr>
                <w:p>
                  <w:pPr>
                    <w:adjustRightInd w:val="0"/>
                    <w:snapToGrid w:val="0"/>
                    <w:jc w:val="center"/>
                    <w:rPr>
                      <w:rFonts w:eastAsia="宋体" w:cs="Arial"/>
                      <w:b/>
                      <w:bCs/>
                      <w:sz w:val="20"/>
                      <w:szCs w:val="20"/>
                    </w:rPr>
                  </w:pPr>
                  <w:r>
                    <w:rPr>
                      <w:rFonts w:cs="Arial"/>
                      <w:b/>
                      <w:sz w:val="20"/>
                    </w:rPr>
                    <w:t>Health</w:t>
                  </w:r>
                </w:p>
              </w:tc>
              <w:tc>
                <w:tcPr>
                  <w:tcW w:w="1562" w:type="pct"/>
                  <w:gridSpan w:val="2"/>
                </w:tcPr>
                <w:p>
                  <w:pPr>
                    <w:adjustRightInd w:val="0"/>
                    <w:snapToGrid w:val="0"/>
                    <w:jc w:val="left"/>
                    <w:rPr>
                      <w:rFonts w:eastAsia="宋体" w:cs="Arial"/>
                      <w:b/>
                      <w:bCs/>
                      <w:sz w:val="20"/>
                      <w:szCs w:val="20"/>
                    </w:rPr>
                  </w:pPr>
                </w:p>
              </w:tc>
              <w:tc>
                <w:tcPr>
                  <w:tcW w:w="1103" w:type="pct"/>
                  <w:vMerge w:val="continue"/>
                </w:tcPr>
                <w:p>
                  <w:pPr>
                    <w:adjustRightInd w:val="0"/>
                    <w:snapToGrid w:val="0"/>
                    <w:jc w:val="left"/>
                    <w:rPr>
                      <w:rFonts w:eastAsia="宋体"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jc w:val="center"/>
              </w:trPr>
              <w:tc>
                <w:tcPr>
                  <w:tcW w:w="588" w:type="pct"/>
                  <w:vAlign w:val="center"/>
                </w:tcPr>
                <w:p>
                  <w:pPr>
                    <w:adjustRightInd w:val="0"/>
                    <w:snapToGrid w:val="0"/>
                    <w:jc w:val="center"/>
                    <w:rPr>
                      <w:rFonts w:eastAsia="宋体" w:cs="Arial"/>
                      <w:b/>
                      <w:bCs/>
                      <w:sz w:val="20"/>
                      <w:szCs w:val="20"/>
                    </w:rPr>
                  </w:pPr>
                  <w:r>
                    <w:rPr>
                      <w:rFonts w:cs="Arial"/>
                      <w:b/>
                      <w:sz w:val="20"/>
                    </w:rPr>
                    <w:t>Phone number</w:t>
                  </w:r>
                </w:p>
              </w:tc>
              <w:tc>
                <w:tcPr>
                  <w:tcW w:w="1011" w:type="pct"/>
                  <w:vAlign w:val="center"/>
                </w:tcPr>
                <w:p>
                  <w:pPr>
                    <w:adjustRightInd w:val="0"/>
                    <w:snapToGrid w:val="0"/>
                    <w:jc w:val="center"/>
                    <w:rPr>
                      <w:rFonts w:eastAsia="宋体" w:cs="Arial"/>
                      <w:b/>
                      <w:bCs/>
                      <w:sz w:val="20"/>
                      <w:szCs w:val="20"/>
                    </w:rPr>
                  </w:pPr>
                </w:p>
              </w:tc>
              <w:tc>
                <w:tcPr>
                  <w:tcW w:w="736" w:type="pct"/>
                  <w:vAlign w:val="center"/>
                </w:tcPr>
                <w:p>
                  <w:pPr>
                    <w:adjustRightInd w:val="0"/>
                    <w:snapToGrid w:val="0"/>
                    <w:jc w:val="center"/>
                    <w:rPr>
                      <w:rFonts w:eastAsia="宋体" w:cs="Arial"/>
                      <w:b/>
                      <w:bCs/>
                      <w:sz w:val="20"/>
                      <w:szCs w:val="20"/>
                    </w:rPr>
                  </w:pPr>
                  <w:r>
                    <w:rPr>
                      <w:rFonts w:cs="Arial"/>
                      <w:b/>
                      <w:sz w:val="20"/>
                    </w:rPr>
                    <w:t>E-mail</w:t>
                  </w:r>
                </w:p>
              </w:tc>
              <w:tc>
                <w:tcPr>
                  <w:tcW w:w="1562" w:type="pct"/>
                  <w:gridSpan w:val="2"/>
                </w:tcPr>
                <w:p>
                  <w:pPr>
                    <w:adjustRightInd w:val="0"/>
                    <w:snapToGrid w:val="0"/>
                    <w:jc w:val="left"/>
                    <w:rPr>
                      <w:rFonts w:eastAsia="宋体" w:cs="Arial"/>
                      <w:b/>
                      <w:bCs/>
                      <w:sz w:val="20"/>
                      <w:szCs w:val="20"/>
                    </w:rPr>
                  </w:pPr>
                </w:p>
              </w:tc>
              <w:tc>
                <w:tcPr>
                  <w:tcW w:w="1103" w:type="pct"/>
                  <w:vMerge w:val="continue"/>
                </w:tcPr>
                <w:p>
                  <w:pPr>
                    <w:adjustRightInd w:val="0"/>
                    <w:snapToGrid w:val="0"/>
                    <w:jc w:val="left"/>
                    <w:rPr>
                      <w:rFonts w:eastAsia="宋体"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897" w:type="pct"/>
                  <w:gridSpan w:val="5"/>
                </w:tcPr>
                <w:p>
                  <w:pPr>
                    <w:adjustRightInd w:val="0"/>
                    <w:snapToGrid w:val="0"/>
                    <w:jc w:val="left"/>
                    <w:rPr>
                      <w:rFonts w:eastAsia="宋体" w:cs="Arial"/>
                      <w:b/>
                      <w:bCs/>
                      <w:sz w:val="20"/>
                      <w:szCs w:val="20"/>
                    </w:rPr>
                  </w:pPr>
                  <w:r>
                    <w:rPr>
                      <w:rFonts w:cs="Arial"/>
                      <w:b/>
                      <w:sz w:val="20"/>
                    </w:rPr>
                    <w:t>Identity document type and number</w:t>
                  </w:r>
                </w:p>
              </w:tc>
              <w:tc>
                <w:tcPr>
                  <w:tcW w:w="1103" w:type="pct"/>
                  <w:vMerge w:val="continue"/>
                </w:tcPr>
                <w:p>
                  <w:pPr>
                    <w:adjustRightInd w:val="0"/>
                    <w:snapToGrid w:val="0"/>
                    <w:jc w:val="left"/>
                    <w:rPr>
                      <w:rFonts w:eastAsia="宋体"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00" w:type="pct"/>
                  <w:gridSpan w:val="6"/>
                </w:tcPr>
                <w:p>
                  <w:pPr>
                    <w:adjustRightInd w:val="0"/>
                    <w:snapToGrid w:val="0"/>
                    <w:jc w:val="left"/>
                    <w:rPr>
                      <w:rFonts w:eastAsia="宋体" w:cs="Arial"/>
                      <w:b/>
                      <w:bCs/>
                      <w:sz w:val="20"/>
                      <w:szCs w:val="20"/>
                    </w:rPr>
                  </w:pPr>
                  <w:r>
                    <w:rPr>
                      <w:rFonts w:cs="Arial"/>
                      <w:b/>
                      <w:sz w:val="20"/>
                    </w:rPr>
                    <w:t>Postal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90" w:hRule="atLeast"/>
                <w:jc w:val="center"/>
              </w:trPr>
              <w:tc>
                <w:tcPr>
                  <w:tcW w:w="5000" w:type="pct"/>
                  <w:gridSpan w:val="6"/>
                </w:tcPr>
                <w:p>
                  <w:pPr>
                    <w:adjustRightInd w:val="0"/>
                    <w:snapToGrid w:val="0"/>
                    <w:jc w:val="left"/>
                    <w:rPr>
                      <w:rFonts w:eastAsia="宋体" w:cs="Arial"/>
                      <w:b/>
                      <w:bCs/>
                      <w:sz w:val="20"/>
                      <w:szCs w:val="20"/>
                    </w:rPr>
                  </w:pPr>
                  <w:r>
                    <w:rPr>
                      <w:rFonts w:cs="Arial"/>
                      <w:b/>
                      <w:sz w:val="20"/>
                    </w:rPr>
                    <w:t xml:space="preserve">When and where the veterinarian </w:t>
                  </w:r>
                  <w:r>
                    <w:rPr>
                      <w:rFonts w:hint="eastAsia" w:cs="Arial"/>
                      <w:b/>
                      <w:sz w:val="20"/>
                    </w:rPr>
                    <w:t xml:space="preserve">qualification certificate </w:t>
                  </w:r>
                  <w:r>
                    <w:rPr>
                      <w:rFonts w:cs="Arial"/>
                      <w:b/>
                      <w:sz w:val="20"/>
                    </w:rPr>
                    <w:t xml:space="preserve">recognised in the country or region </w:t>
                  </w:r>
                  <w:r>
                    <w:rPr>
                      <w:rFonts w:hint="eastAsia" w:cs="Arial"/>
                      <w:b/>
                      <w:sz w:val="20"/>
                    </w:rPr>
                    <w:t>he/she practises</w:t>
                  </w:r>
                  <w:r>
                    <w:rPr>
                      <w:rFonts w:cs="Arial"/>
                      <w:b/>
                      <w:sz w:val="20"/>
                    </w:rPr>
                    <w:t xml:space="preserve"> was obtained, and the validity period of the </w:t>
                  </w:r>
                  <w:r>
                    <w:rPr>
                      <w:rFonts w:hint="eastAsia" w:cs="Arial"/>
                      <w:b/>
                      <w:sz w:val="20"/>
                    </w:rPr>
                    <w:t>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50" w:hRule="atLeast"/>
                <w:jc w:val="center"/>
              </w:trPr>
              <w:tc>
                <w:tcPr>
                  <w:tcW w:w="5000" w:type="pct"/>
                  <w:gridSpan w:val="6"/>
                </w:tcPr>
                <w:p>
                  <w:pPr>
                    <w:adjustRightInd w:val="0"/>
                    <w:snapToGrid w:val="0"/>
                    <w:jc w:val="left"/>
                    <w:rPr>
                      <w:rFonts w:eastAsia="宋体" w:cs="Arial"/>
                      <w:b/>
                      <w:bCs/>
                      <w:sz w:val="20"/>
                      <w:szCs w:val="20"/>
                    </w:rPr>
                  </w:pPr>
                  <w:r>
                    <w:rPr>
                      <w:rFonts w:cs="Arial"/>
                      <w:b/>
                      <w:sz w:val="20"/>
                    </w:rPr>
                    <w:t>Duties during the</w:t>
                  </w:r>
                  <w:bookmarkStart w:id="2" w:name="_GoBack"/>
                  <w:bookmarkEnd w:id="2"/>
                  <w:r>
                    <w:rPr>
                      <w:rFonts w:cs="Arial"/>
                      <w:b/>
                      <w:sz w:val="20"/>
                    </w:rPr>
                    <w:t xml:space="preserve"> </w:t>
                  </w:r>
                  <w:r>
                    <w:rPr>
                      <w:rFonts w:hint="eastAsia" w:cs="Arial"/>
                      <w:b/>
                      <w:sz w:val="20"/>
                      <w:lang w:val="en-US" w:eastAsia="zh-CN"/>
                    </w:rPr>
                    <w:t xml:space="preserve">19th </w:t>
                  </w:r>
                  <w:r>
                    <w:rPr>
                      <w:rFonts w:cs="Arial"/>
                      <w:b/>
                      <w:sz w:val="20"/>
                    </w:rPr>
                    <w:t>Asian Games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50" w:hRule="atLeast"/>
                <w:jc w:val="center"/>
              </w:trPr>
              <w:tc>
                <w:tcPr>
                  <w:tcW w:w="5000" w:type="pct"/>
                  <w:gridSpan w:val="6"/>
                </w:tcPr>
                <w:p>
                  <w:pPr>
                    <w:adjustRightInd w:val="0"/>
                    <w:snapToGrid w:val="0"/>
                    <w:jc w:val="left"/>
                    <w:rPr>
                      <w:rFonts w:eastAsia="宋体" w:cs="Arial"/>
                      <w:b/>
                      <w:bCs/>
                      <w:sz w:val="20"/>
                      <w:szCs w:val="20"/>
                    </w:rPr>
                  </w:pPr>
                  <w:r>
                    <w:rPr>
                      <w:rFonts w:cs="Arial"/>
                      <w:b/>
                      <w:sz w:val="20"/>
                    </w:rPr>
                    <w:t>Scope of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1598" w:hRule="atLeast"/>
                <w:jc w:val="center"/>
              </w:trPr>
              <w:tc>
                <w:tcPr>
                  <w:tcW w:w="2500" w:type="pct"/>
                  <w:gridSpan w:val="4"/>
                </w:tcPr>
                <w:p>
                  <w:pPr>
                    <w:adjustRightInd w:val="0"/>
                    <w:snapToGrid w:val="0"/>
                    <w:jc w:val="left"/>
                    <w:rPr>
                      <w:rFonts w:eastAsia="宋体" w:cs="Arial"/>
                      <w:b/>
                      <w:bCs/>
                      <w:sz w:val="20"/>
                      <w:szCs w:val="20"/>
                    </w:rPr>
                  </w:pPr>
                  <w:r>
                    <w:rPr>
                      <w:rFonts w:cs="Arial"/>
                      <w:b/>
                      <w:sz w:val="20"/>
                    </w:rPr>
                    <w:t>I hereby solemnly declare that the information provided above is true and accurate.</w:t>
                  </w:r>
                </w:p>
              </w:tc>
              <w:tc>
                <w:tcPr>
                  <w:tcW w:w="2500" w:type="pct"/>
                  <w:gridSpan w:val="2"/>
                </w:tcPr>
                <w:p>
                  <w:pPr>
                    <w:adjustRightInd w:val="0"/>
                    <w:snapToGrid w:val="0"/>
                    <w:jc w:val="left"/>
                    <w:rPr>
                      <w:rFonts w:eastAsia="宋体" w:cs="Arial"/>
                      <w:b/>
                      <w:bCs/>
                      <w:sz w:val="20"/>
                      <w:szCs w:val="20"/>
                    </w:rPr>
                  </w:pPr>
                  <w:r>
                    <w:rPr>
                      <w:rFonts w:cs="Arial"/>
                      <w:b/>
                      <w:sz w:val="20"/>
                    </w:rPr>
                    <w:t>Reviewed by (the team or organisation of the veterinarian):</w:t>
                  </w:r>
                </w:p>
                <w:p>
                  <w:pPr>
                    <w:adjustRightInd w:val="0"/>
                    <w:snapToGrid w:val="0"/>
                    <w:jc w:val="left"/>
                    <w:rPr>
                      <w:rFonts w:eastAsia="宋体" w:cs="Arial"/>
                      <w:b/>
                      <w:bCs/>
                      <w:sz w:val="20"/>
                      <w:szCs w:val="20"/>
                    </w:rPr>
                  </w:pPr>
                  <w:r>
                    <w:rPr>
                      <w:rFonts w:cs="Arial"/>
                      <w:b/>
                      <w:sz w:val="20"/>
                    </w:rPr>
                    <w:t>(Signature and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1417" w:hRule="atLeast"/>
                <w:jc w:val="center"/>
              </w:trPr>
              <w:tc>
                <w:tcPr>
                  <w:tcW w:w="2500" w:type="pct"/>
                  <w:gridSpan w:val="4"/>
                </w:tcPr>
                <w:p>
                  <w:pPr>
                    <w:adjustRightInd w:val="0"/>
                    <w:snapToGrid w:val="0"/>
                    <w:jc w:val="left"/>
                    <w:rPr>
                      <w:rFonts w:eastAsia="宋体" w:cs="Arial"/>
                      <w:b/>
                      <w:bCs/>
                      <w:sz w:val="20"/>
                      <w:szCs w:val="20"/>
                    </w:rPr>
                  </w:pPr>
                  <w:r>
                    <w:rPr>
                      <w:rFonts w:cs="Arial"/>
                      <w:b/>
                      <w:sz w:val="20"/>
                    </w:rPr>
                    <w:t>Reviewed by (HAGOC Medical Department):</w:t>
                  </w:r>
                </w:p>
                <w:p>
                  <w:pPr>
                    <w:adjustRightInd w:val="0"/>
                    <w:snapToGrid w:val="0"/>
                    <w:jc w:val="left"/>
                    <w:rPr>
                      <w:rFonts w:eastAsia="宋体" w:cs="Arial"/>
                      <w:b/>
                      <w:bCs/>
                      <w:sz w:val="20"/>
                      <w:szCs w:val="20"/>
                    </w:rPr>
                  </w:pPr>
                  <w:r>
                    <w:rPr>
                      <w:rFonts w:cs="Arial"/>
                      <w:b/>
                      <w:sz w:val="20"/>
                    </w:rPr>
                    <w:t>(Signature and seal)</w:t>
                  </w:r>
                </w:p>
              </w:tc>
              <w:tc>
                <w:tcPr>
                  <w:tcW w:w="2500" w:type="pct"/>
                  <w:gridSpan w:val="2"/>
                </w:tcPr>
                <w:p>
                  <w:pPr>
                    <w:adjustRightInd w:val="0"/>
                    <w:snapToGrid w:val="0"/>
                    <w:jc w:val="left"/>
                    <w:rPr>
                      <w:rFonts w:eastAsia="宋体" w:cs="Arial"/>
                      <w:b/>
                      <w:bCs/>
                      <w:sz w:val="20"/>
                      <w:szCs w:val="20"/>
                    </w:rPr>
                  </w:pPr>
                  <w:r>
                    <w:rPr>
                      <w:rFonts w:cs="Arial"/>
                      <w:b/>
                      <w:sz w:val="20"/>
                    </w:rPr>
                    <w:t>Comment by the Department of Agriculture and Rural Affairs of Zhejiang Province</w:t>
                  </w:r>
                </w:p>
              </w:tc>
            </w:tr>
          </w:tbl>
          <w:p>
            <w:pPr>
              <w:adjustRightInd w:val="0"/>
              <w:snapToGrid w:val="0"/>
              <w:spacing w:before="312" w:beforeLines="100"/>
              <w:ind w:left="660" w:leftChars="300" w:right="660" w:rightChars="300"/>
              <w:jc w:val="left"/>
              <w:rPr>
                <w:rFonts w:eastAsia="宋体" w:cs="Arial"/>
              </w:rPr>
            </w:pPr>
            <w:r>
              <w:rPr>
                <w:rFonts w:cs="Arial"/>
              </w:rPr>
              <w:t>—4—</w:t>
            </w:r>
          </w:p>
        </w:tc>
      </w:tr>
    </w:tbl>
    <w:p>
      <w:pPr>
        <w:rPr>
          <w:rFonts w:cs="Arial"/>
          <w:sz w:val="2"/>
          <w:szCs w:val="2"/>
        </w:rPr>
      </w:pPr>
    </w:p>
    <w:sectPr>
      <w:pgSz w:w="11906" w:h="16838"/>
      <w:pgMar w:top="1134" w:right="1134" w:bottom="1134"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Q.Jiang" w:date="2023-05-23T10:53:00Z" w:initials="">
    <w:p w14:paraId="580B187B">
      <w:pPr>
        <w:pStyle w:val="2"/>
      </w:pPr>
      <w:r>
        <w:rPr>
          <w:rFonts w:hint="eastAsia"/>
        </w:rPr>
        <w:t>此处日期是否需要更新，还请部门确认一下。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0B18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Jiang">
    <w15:presenceInfo w15:providerId="None" w15:userId="C.Q.J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0YTBiMWM2ZjBiNjdiZGJmYmM1OTZhZmJiOTBjNjQifQ=="/>
  </w:docVars>
  <w:rsids>
    <w:rsidRoot w:val="00A5610C"/>
    <w:rsid w:val="00015618"/>
    <w:rsid w:val="00387C7D"/>
    <w:rsid w:val="00415816"/>
    <w:rsid w:val="005A0EAB"/>
    <w:rsid w:val="00615EF2"/>
    <w:rsid w:val="0068586C"/>
    <w:rsid w:val="007E112D"/>
    <w:rsid w:val="008138DD"/>
    <w:rsid w:val="00850835"/>
    <w:rsid w:val="00A37519"/>
    <w:rsid w:val="00A5610C"/>
    <w:rsid w:val="00AF2DA3"/>
    <w:rsid w:val="00C40288"/>
    <w:rsid w:val="00CF1A8C"/>
    <w:rsid w:val="00D44F54"/>
    <w:rsid w:val="00D5270C"/>
    <w:rsid w:val="00EE6110"/>
    <w:rsid w:val="00F8537A"/>
    <w:rsid w:val="0B912F97"/>
    <w:rsid w:val="0CD1341C"/>
    <w:rsid w:val="192E299C"/>
    <w:rsid w:val="1A451CA1"/>
    <w:rsid w:val="1FE623B5"/>
    <w:rsid w:val="2A042328"/>
    <w:rsid w:val="30671DEA"/>
    <w:rsid w:val="481113DB"/>
    <w:rsid w:val="4963064F"/>
    <w:rsid w:val="569A4DDE"/>
    <w:rsid w:val="57802226"/>
    <w:rsid w:val="5E316028"/>
    <w:rsid w:val="6B5275DD"/>
    <w:rsid w:val="6D617FAC"/>
    <w:rsid w:val="6EE175F6"/>
    <w:rsid w:val="6F7915DC"/>
    <w:rsid w:val="70AE3508"/>
    <w:rsid w:val="720903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黑体" w:cs="Century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黑体" w:cs="Century Gothic"/>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9"/>
    <w:semiHidden/>
    <w:unhideWhenUsed/>
    <w:uiPriority w:val="99"/>
    <w:rPr>
      <w:rFonts w:ascii="Microsoft YaHei UI" w:eastAsia="Microsoft YaHei U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basedOn w:val="6"/>
    <w:semiHidden/>
    <w:unhideWhenUsed/>
    <w:uiPriority w:val="99"/>
    <w:rPr>
      <w:sz w:val="21"/>
      <w:szCs w:val="21"/>
    </w:rPr>
  </w:style>
  <w:style w:type="paragraph" w:customStyle="1" w:styleId="8">
    <w:name w:val="Default"/>
    <w:uiPriority w:val="0"/>
    <w:pPr>
      <w:widowControl w:val="0"/>
      <w:autoSpaceDE w:val="0"/>
      <w:autoSpaceDN w:val="0"/>
      <w:adjustRightInd w:val="0"/>
    </w:pPr>
    <w:rPr>
      <w:rFonts w:ascii="Microsoft YaHei UI" w:hAnsi="Arial" w:eastAsia="Microsoft YaHei UI" w:cs="Microsoft YaHei UI"/>
      <w:color w:val="000000"/>
      <w:sz w:val="24"/>
      <w:szCs w:val="24"/>
      <w:lang w:val="en-US" w:eastAsia="zh-CN" w:bidi="ar-SA"/>
    </w:rPr>
  </w:style>
  <w:style w:type="character" w:customStyle="1" w:styleId="9">
    <w:name w:val="批注框文本 字符"/>
    <w:basedOn w:val="6"/>
    <w:link w:val="3"/>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BA1F-38EC-4465-81AA-70B0710DA1B6}">
  <ds:schemaRefs/>
</ds:datastoreItem>
</file>

<file path=docProps/app.xml><?xml version="1.0" encoding="utf-8"?>
<Properties xmlns="http://schemas.openxmlformats.org/officeDocument/2006/extended-properties" xmlns:vt="http://schemas.openxmlformats.org/officeDocument/2006/docPropsVTypes">
  <Template>Normal</Template>
  <Pages>5</Pages>
  <Words>738</Words>
  <Characters>4404</Characters>
  <Lines>38</Lines>
  <Paragraphs>10</Paragraphs>
  <TotalTime>71</TotalTime>
  <ScaleCrop>false</ScaleCrop>
  <LinksUpToDate>false</LinksUpToDate>
  <CharactersWithSpaces>5091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2023-05-22T05:01:00Z</dcterms:created>
  <dc:creator>邱洁</dc:creator>
  <cp:lastModifiedBy>C.Q.Jiang</cp:lastModifiedBy>
  <dcterms:modified xsi:type="dcterms:W3CDTF">2023-05-23T07:16:40Z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26231d5e2c3d42b1592e62c484d8d78fdb007b4fab724d8e9cb81f05ecc81041</vt:lpwstr>
  </property>
  <property fmtid="{D5CDD505-2E9C-101B-9397-08002B2CF9AE}" pid="3" name="KSOProductBuildVer">
    <vt:lpwstr>2052-11.1.0.14036</vt:lpwstr>
  </property>
  <property fmtid="{D5CDD505-2E9C-101B-9397-08002B2CF9AE}" pid="4" name="ICV">
    <vt:lpwstr>CAD353726F2D4D04852E06E7C198F2FC_13</vt:lpwstr>
  </property>
</Properties>
</file>